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ESCRITURA PÚBLICA</w:t>
      </w:r>
    </w:p>
    <w:p>
      <w:r>
        <w:rPr>
          <w:i/>
          <w:iCs/>
          <w:color w:val="666666"/>
        </w:rPr>
        <w:t xml:space="preserve">ASSINATURA A ROGO DA OUTORGANTE</w:t>
      </w:r>
    </w:p>
    <w:p/>
    <w:p/>
    <w:p>
      <w:r>
        <w:t xml:space="preserve">ESPOSA BRASILEIRA OU FILHO BRASILEIRO — QUANDO É VEDADA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vedada a expulsão de estrangeiro casado com brasileira, ou que tenha filho brasileiro dependente da economia paterna. Referência: - Constituição Federal art. 143 - Decreto-Lei nº 479 de 8 de junho de 1938, art. 3º "b" HC 36.402, de 07.01.59 (R.T.J., v. 10, p. 446) HC 38.969, de 16.04.62 Sessão de 13-12-1963 - pág 33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2026-09-11T00:08:02.250Z</dcterms:created>
  <dcterms:modified xsi:type="dcterms:W3CDTF">2026-09-11T00:08:02.250Z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