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EFEITOS "EX TUNC"</w:t>
      </w:r>
    </w:p>
    <w:p/>
    <w:p/>
    <w:p>
      <w:r>
        <w:t xml:space="preserve">FRAUDE À LEI — COMO SE CARACTERIZA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pagamento da indenização de antigüidade, presume-se em fraude à lei a resilição contratual se o empregado permaneceu prestando serviço ou tiver sido, em curto prazo, readmitido. Referência: Art. 9º da CLT Aprovado pela Resolução Administrativa nº 57/70, de 11.11.70. Publicado no Diário Oficial, Parte III, GB, em 02.12.70.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2026-10-26T03:42:27.434Z</dcterms:created>
  <dcterms:modified xsi:type="dcterms:W3CDTF">2026-10-26T03:42:27.434Z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