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/>
    <w:p>
      <w:r>
        <w:t xml:space="preserve">FRAUDE À LEI — COMO SE CARACTERIZA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obstante o pagamento da indenização de antigüidade, presume-se em fraude à lei a resilição contratual se o empregado permaneceu prestando serviço ou tiver sido, em curto prazo, readmitido. Referência: Art. 9º da CLT Aprovado pela Resolução Administrativa nº 57/70, de 11.11.70. Publicado no Diário Oficial, Parte III, GB, em 02.12.70.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2026-06-17T16:32:38.956Z</dcterms:created>
  <dcterms:modified xsi:type="dcterms:W3CDTF">2026-06-17T16:32:38.956Z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