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ESCRITURA PÚBLICA</w:t>
      </w:r>
    </w:p>
    <w:p>
      <w:r>
        <w:rPr>
          <w:i/>
          <w:iCs/>
          <w:color w:val="666666"/>
        </w:rPr>
        <w:t xml:space="preserve">ASSINATURA A ROGO DA OUTORGANTE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DECIO MIRANDA</w:t>
      </w:r>
    </w:p>
    <w:p/>
    <w:p>
      <w:r>
        <w:t xml:space="preserve">AÇÃO DE INDENIZAÇÃO CONTRA O PRIMITIVO TRANSMITENTE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Considero configurada a divergência, pela oposição, no essencial, entre a tese firmada pelo acórdão embargado, que recusou a possibilidade do pedido de indenização do último adquirente contra o primeiro transmitente e o aresto paradigma, onde se faculta a ação direta, dispensando a necessidade do percurso das sucessivas etapas de transmissão. - Conheço, por isso, dos embargos, mas para rejeitá-los. - A decisão embargada assinala, segundo penso, uma evolução jurisprudêncial, que merece ser preservada. - Em dois fundamentos repousa o acórdão oferecido como padrão. - O primeiro é o de que a ação proposta é de indenização e não de evicção. - A assertiva, mesmo sendo em superfície e aparência verdadeira, não dispensa o aprofundamento que lhe dedicou o acórdão embargado. - Impõe-se, então, examinar se a demanda, ajuizada a título de indenização por ato ilícito, comportava esse enquadramento, atribuído pelos autores, ou deveria revestir o figurino próprio da evicção, como sustentou o Réu e proclamou a Segunda Turma. - Tratando-se, como se trata, de resguardar o adquirente do risco da não execução de contrato oneroso, visando à transferência de domínio (compra e venda a hipótese é certamente, de evicção art. 1.107 do Código Civil), não havendo como procurar abstrair a cadeia das alienações intercorrentes. - As instâncias ordinárias cuidaram da espécie como se fora de ilícito absoluto (art. 150 do Cód. Civil e art. 107 da Constituição), quando, na verdade, é de responsabilidade contratual que se cogita: isto é, o não cumprimento da obrigação de transmitir a propriedade, que constitui o objeto do contrato de compra e ven da. Tanto é desse tipo a relação jurídica entre os segundos e os terceiros adquirentes (estes os ora Embargantes), como a alienação originária, a que o Estado procedeu. - Todo o ciclo de operações realizou-se, pois, à sobra das relações contratuais, a cuja luz se tornava imperioso cumprir o encadeamento a que se refere com argúcia, o eminente Ministro DECIO MIRANDA, sob pena de faltar como faltou, o nexo casual, entre a conduta dos Embargantes e a do Embargado que se acha indevidamente acionado em razão de culpa decorrente de contrato, por quem com ele nada contratou. - O segundo argumento do acórdão embargado demonstra louvável preocupação de ordem prática, prestigiando o princípio de economia processual, mas cede em face das circunstâncias que emergem destes autos. - Julgo que a aplicação do princípio, à espécie, estaria na dependência de aferir a ocorrência da mesma amplitude da defesa, ensejada ao Réu (Estado do Paraná), tanto na ação que ora lhe move o último adquirente, quando naquele que lhe viesse a mover o primitivo. - Ora, a sentença que declarou a nulidade do registro apontou as mais graves irregularidades na titulação originária das terras mediante fraude na qual figuram adquirentes fictícios, não parecendo curial que, por economia do processo seja utilizada a ação direta, com eliminação do confronto entre o Estado e o primeiro adquirente, que desvenda possibilidades de defesa não oponíveis ao terceiro adquirente. - Por esses motivos, entendo que deva prevalecer a orientação adotada pelo acórdão embargado. - Conheço dos embargos e os rejeitos. Ac. de 21-08-1986 VENCIDOS OS MINISTROS SYDNEY SANCHES E ALDIR PASSARINHO. Revista Trimestral de Jurisprudência, Vol. 119, (Março/87), Pág. 1.100. DECISÃO CONFIRMADA: Rec. Extr., nº 97.197 - PR, STF - 2ª T, Relator: Ministro DECIO MIRANDA, Ac. de 25-6-1984, in "EMENTÁRIO FORENSE", Nº 440. EMFOR 477 EMENTA: - Para o cálculo da indenização ter-se-á como parâmetro o valor do bem ao tempo em que se evenceu, computando-se os frutos que tiver o evicto sido obrigado a restituir, bem como as despesas e prejuízos que diretamente resultarem da evicção, incluindo-se as perdas e danos, sendo estas a diferença entre o preço que foi pago pelo evicto e o que passou a valer o bem. RESUMO DO ACÓRDÃO: - Mesmo que assim não fosse, os documentos que deveriam ser juntos seriam aqueles referentes a existência de evicção, indispensáveis a comprovar a existência do direto pleiteado, como feito. Os outros, relativos aos prejuízos dela advindo poderiam ser trazidos até na fase de liquidação. Entretanto, o foram antes da prolação da sentença. - Frise-se que, quando o réu alega na contestação qualquer das matérias enumeradas no art. 301 do CPC, como feito, para se garantir o princípio do contraditório é facultado ao autor a réplica, ocasião em que se lhe permite a produção de prova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de evicção não pode ser substituída pelo pedido de indenização do último adquirente contra o primitivo transmitente, com abstração da cadeia sucessiva de transmissões (art. 1.107 do Código Civil).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2026-09-10T22:10:44.382Z</dcterms:created>
  <dcterms:modified xsi:type="dcterms:W3CDTF">2026-09-10T22:10:44.382Z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