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/>
    <w:p>
      <w:r>
        <w:t xml:space="preserve">REQUISITOS PARA ELIDIR A REVELIA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a recorrente elidir a pena de confissão através de atestado médico. - Ocorre que tal atestado não alcança o fim desejado posto que não contém o CID da doença que acometera a autora e horário de atendimento e, ainda, o reconhecimento de firma, já que se trata de instrumento particular. Ac. de 05-05-1993 Arquivo do EMFOR - TRT/465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Atestado Médico que não contém o código de doença, o horário do atendimento e a firma do médico subscritor reconhecida não é documento hábil para justificar ausência da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2026-07-28T01:53:15.786Z</dcterms:created>
  <dcterms:modified xsi:type="dcterms:W3CDTF">2026-07-28T01:53:15.786Z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