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EXTINÇÃO DE EMPRESA</w:t>
      </w:r>
    </w:p>
    <w:p>
      <w:r>
        <w:rPr>
          <w:i/>
          <w:iCs/>
          <w:color w:val="666666"/>
        </w:rPr>
        <w:t xml:space="preserve">RESPONSABILIDADE DO EMPREGADOR</w:t>
      </w:r>
    </w:p>
    <w:p/>
    <w:p/>
    <w:p>
      <w:r>
        <w:t xml:space="preserve">ABONO DE FALTAS — PRIMEIROS QUINZE DIAS DE AUSÊNCIA - QUANDO LHE COMPETE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SERVIÇO MÉDICO DA EMPRESA OU AO MANTIDO POR ESTA ÚLTIMA MEDIANTE CONVÊNIO, COMPETE ABONAR OS PRIMEIROS QUINZE DIAS DE AUSÊNCIA AO TRABALHO. Referência: Consolidação das Leis de Previdência Social, parágrafo único do art. 27 do Decreto 89.312/84. Resolução 15/88 - DJ 1-3-88. EMFOR 478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2026-10-16T17:23:26.874Z</dcterms:created>
  <dcterms:modified xsi:type="dcterms:W3CDTF">2026-10-16T17:23:26.874Z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