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14/05/1986</w:t>
      </w:r>
    </w:p>
    <w:p/>
    <w:p>
      <w:r>
        <w:t xml:space="preserve">PENA DE CONFISSÃO — APLICAÇÃO - NECESSIDADE DE PRÉVIA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o despacho que determinou a intimação sob pena de confissão houve a audiência... quando foi prorrogada para o dia 4 de abril e nesta ata, não ficou consignado que na audiência as partes prestariam depoimentos pessoais sob pena de confissão. - A Súmula 74/TST, definiu a questão sobre a licitude de se aplicar pena de confissão, e esta só subsiste quando o reclamante for intimado com tal cominação. - O reclamante não diz para que fins deseja o provimento do recurso. - Conheço por divergência e dou provimento para anular o processado a partir da aplicação da pena de confissão, determinando-se o retorno dos autos à M.M. Junta, para que profira novo julgamento, como entender de direito, afastada a confissão «ficta». Proc. TST-RR-8.179/85.2, Julgado em 15-05-1986 Arquivo do Ementário Forense, TST/2.062 (*) «Aplica-se a pena de confissão à parte que, expressamente intimada com aquela cominação, não comparecer à audiência em prosseguimento na qual deveria depor.» (EMENTÁRIO FORENSE», Nº 370).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74 (*) do TST definiu sobre a licitude de se aplicar a pena de confissão, e esta só subsiste quando o reclamante foi intimado com tal cominação.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2026-07-28T04:21:36.800Z</dcterms:created>
  <dcterms:modified xsi:type="dcterms:W3CDTF">2026-07-28T04:21:36.800Z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