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EXTINÇÃO DE EMPRESA</w:t>
      </w:r>
    </w:p>
    <w:p>
      <w:r>
        <w:rPr>
          <w:i/>
          <w:iCs/>
          <w:color w:val="666666"/>
        </w:rPr>
        <w:t xml:space="preserve">RESPONSABILIDADE DO EMPREGADOR</w:t>
      </w:r>
    </w:p>
    <w:p/>
    <w:p/>
    <w:p>
      <w:r>
        <w:t xml:space="preserve">QUANDO A ELE NÃO TEM DIREITO A EMPREGADA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CONTRATO DE EXPERIÊNCIA, EXTINTO ANTES DO PERÍODO DE QUATRO SEMANAS QUE PRECEDEM O PARTO, A EMPREGADA NÃO TEM DIREITO DE RECEBER, DO EMPREGADOR, O SALÁRIO-MATERNIDADE. Referências: CLT arts. 391, 392, 393, 443 - Parágrafo 2, alínea c e 445, parágrafo único. DJ de 31-10-86, republicado do DJ de 6-11-86. EMFOR 460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2026-10-16T16:12:44.991Z</dcterms:created>
  <dcterms:modified xsi:type="dcterms:W3CDTF">2026-10-16T16:12:44.991Z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