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04/08/1986</w:t>
      </w:r>
    </w:p>
    <w:p/>
    <w:p>
      <w:r>
        <w:t xml:space="preserve">IGNORÂNCIA DA GRAVIDEZ PELA EMPREGADA — QUANDO NÃO LHE CABE INVOCAR POSTERIORMENTE ESSA CIRCUNSTÂNCIA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Salário-Maternidade, o aresto da lavra do Juiz JOSÉ BIERI PEREIRA revela tese oposta à do acórdão regional, no que registra ser secundário o conhecimento da gravidez, sem especificar se por parte do empregador ou da própria empregada. - Conheço o recurso, no particular. - Da garantia de Emprego, os arestos paradigmas não contém a premissa fática que levou o Egrégio Regional a indeferir o pedido - a ausência de conhecimento da gravidez pela própria empregada. Assim não se mostram específicos. - No mérito, na hipótese não se trata apenas de ausência de conhecimento pelo empregador. A própria prestadora dos serviços desconhecia a gravidez. - Nego provimento ao recurso. VENCIDO O MINISTRO JOÃO WAGNER Proc. TST-RR-8.625/85, Julgado em 5-8-1986. Arquivo do EMFOR, TST/1.948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grávida, ignorava tal estado no momento da despedida, não pode invocar posteriormente essa circunstância para reivindicar os salários previstos no artigo 392,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2026-07-28T03:44:32.527Z</dcterms:created>
  <dcterms:modified xsi:type="dcterms:W3CDTF">2026-07-28T03:44:32.527Z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