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04/08/1986</w:t>
      </w:r>
    </w:p>
    <w:p/>
    <w:p>
      <w:r>
        <w:t xml:space="preserve">IGNORÂNCIA DA GRAVIDEZ PELA EMPREGADA — QUANDO NÃO LHE CABE INVOCAR POSTERIORMENTE ESSA CIRCUNSTÂNCIA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Salário-Maternidade, o aresto da lavra do Juiz JOSÉ BIERI PEREIRA revela tese oposta à do acórdão regional, no que registra ser secundário o conhecimento da gravidez, sem especificar se por parte do empregador ou da própria empregada. - Conheço o recurso, no particular. - Da garantia de Emprego, os arestos paradigmas não contém a premissa fática que levou o Egrégio Regional a indeferir o pedido - a ausência de conhecimento da gravidez pela própria empregada. Assim não se mostram específicos. - No mérito, na hipótese não se trata apenas de ausência de conhecimento pelo empregador. A própria prestadora dos serviços desconhecia a gravidez. - Nego provimento ao recurso. VENCIDO O MINISTRO JOÃO WAGNER Proc. TST-RR-8.625/85, Julgado em 5-8-1986. Arquivo do EMFOR, TST/1.948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grávida, ignorava tal estado no momento da despedida, não pode invocar posteriormente essa circunstância para reivindicar os salários previstos no artigo 392,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2026-10-16T16:14:19.013Z</dcterms:created>
  <dcterms:modified xsi:type="dcterms:W3CDTF">2026-10-16T16:14:19.013Z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