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/>
    <w:p>
      <w:r>
        <w:t xml:space="preserve">RECONHECIMENTO DESTA NA RESCISÃO DO CONTRATO — SE É DEVIDO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CULPA RECÍPROCA NA RESCISÃO DO CONTRATO DE TRABALHO, O EMPREGADO NÃO FARÁ JUS AO AVISO PRÉVIO, ÀS FÉRIAS PROPORCIONAIS E À GRATIFICAÇÃO NATALINA DO ANO RESPECTIVO. Referência: - Art. 484 da Consolidação das Leis do Trabalho. Sessão de 14-08-1969 Arquivo do EMFOR, 3-806 EMFOR 254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2026-07-28T01:34:51.470Z</dcterms:created>
  <dcterms:modified xsi:type="dcterms:W3CDTF">2026-07-28T01:34:51.470Z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