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AVISO PRÉVIO</w:t>
      </w:r>
    </w:p>
    <w:p>
      <w:r>
        <w:rPr>
          <w:i/>
          <w:iCs/>
          <w:color w:val="666666"/>
        </w:rPr>
        <w:t xml:space="preserve">HORAS DA JORNADA DE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INTEGRAÇÃO AO TEMPO DE SERVIÇO PARA TODOS OS EFEITOS LEGAIS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Sem razão o Recorrente. O período correspondente ao aviso prévio é computado para todos os efeitos legais. Se não vejamos. O art. 487, parágrafo 1º, do texto Consolidado, que versa sobre a matéria, assim dispõe, "in verbis": "A falta do aviso prévio por parte do empregador dá ao empregado o direito aos salários correspondentes ao prazo do aviso, garantida sempre a integração desse período no seu tempo de serviço." A título de ilustração, transcrevo o Enunciado nº 5 (*) deste Tribunal, que possui o seguinte teor: "O reajustamento salarial coletivo, determinado no curso do aviso-prévio, beneficia ao empregado pré-avisado da despedida, mesmo que tenha recebido antecipadamente os salários correspondentes ao período do aviso, que integra o seu tempo de serviço para todos os efeitos legais." A teor do disposto no art. 487, parágrafo 1º da CLT, verifica-se que o aviso prévio, ainda que indenizado, integra o tempo de serviço do empregado para todos os efeitos. Assim sendo, como esse período projeta o fim do contrato de trabalho, deve constar na CTPS do empregado a data do término do prazo do aviso prévio. Nego provimento, no particular. Ac. nº 2.609 de 14-06-1995 Arquivo do EMFOR - TST/3.290 EMFOR 563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prévio, ainda que indenizado, integra o tempo de serviço do empregado para todos os efeitos legais (disciplina do art. 487, parágrafo 1º, do Texto Consolidado). Assim sendo, como esse período projeta o fim do contrato de trabalho, deve constar na CTPS do empregado a data do término do aviso prévio.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2026-07-28T03:50:26.722Z</dcterms:created>
  <dcterms:modified xsi:type="dcterms:W3CDTF">2026-07-28T03:50:26.722Z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