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EMBARGOS À EXECUÇÃO FISCAL</w:t>
      </w:r>
    </w:p>
    <w:p/>
    <w:p/>
    <w:p>
      <w:r>
        <w:t xml:space="preserve">AMIZADE ÍNTIMA DO JUIZ COM O ADVOGADO — SE GERA INCOMPATIBILIDADE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Ministério Público, em parecer da lavra do Dr. PEDRO PONDÉ, eminente Procurador de Justiça, concluiu pelo arquivamento do incidente processual ... . - Nos termos do art. 135, I, do Código de Processo Civil, o juiz é suspeito de parcialidade, quando amigo íntimo de qualquer das partes. - Não se pode emprestar o alcance pretendido pelos excipientes àquela norma processual para considerar suspeito o magistrado que é amigo íntimo do advogado da parte, o que, aliás, é negado pelo excepto. - Ante estes fundamentos, julga-se improcedente a exceção de suspeição. Ac. de 26-05-1995 Arquivo do EMFOR - TJ/2.569 EMFOR 560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Amizade íntima do juiz com o advogado não gera incompatibilidade para a sua atuação no processo, inaplicável a norma processual (art. 135, I, do CPC), que é endereçada à parte.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2026-10-26T04:33:25.442Z</dcterms:created>
  <dcterms:modified xsi:type="dcterms:W3CDTF">2026-10-26T04:33:25.442Z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