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/>
    <w:p>
      <w:r>
        <w:t xml:space="preserve">EMPREGADO DESTA — RECONHECIMENTO COMO CATEGORIA DIFERENCIADA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EMPREGADOS DE EMPRESA DE PROCESSAMENTO DE DADOS. RECONHECIMENTO COMO CATEGORIA DIFERENCIADA. IMPOSSIBILIDADE. - É por lei e não por decisão judicial, que as categorias diferenciadas são reconhecidas como tais. De outra parte, no que tange aos profissionais da informática, o trabalho que desempenham sofre alterações, de acordo com a atividade econômica exercida pelo empregador. . RODC 298623/96 Juiz Convocado L. Kontoyanis DJ 11.09.98 unânime . RODC 368621/97 Juiz Convocado Fernando E. Ono DJ 28.08.98 unânime . RODC 377088/97 Juiz Convocado Fernando E. Ono DJ 08.05.98 unânime . RODC 263729/96, Ac. 278/97 Min. Rider de Brito DJ 02.05.97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2026-07-28T01:22:06.614Z</dcterms:created>
  <dcterms:modified xsi:type="dcterms:W3CDTF">2026-07-28T01:22:06.614Z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