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BANCÁRIO</w:t>
      </w:r>
    </w:p>
    <w:p>
      <w:r>
        <w:rPr>
          <w:i/>
          <w:iCs/>
          <w:color w:val="666666"/>
        </w:rPr>
        <w:t xml:space="preserve">EMPRESA DE PROCESSAMENTO DE DADOS</w:t>
      </w:r>
    </w:p>
    <w:p/>
    <w:p>
      <w:r>
        <w:rPr>
          <w:b/>
          <w:bCs/>
        </w:rPr>
        <w:t xml:space="preserve">Recurso: </w:t>
      </w:r>
      <w:r>
        <w:t xml:space="preserve">AP -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COMO SE CONCEITUA AQUELA QUE ENQUADRA O SERVIDOR NA EXCEÇÃO DO § 2º DO ART. 224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Razão assiste ao recorrente. Isto porque, a previsão da regra do art. 224, § 2º da CLT, que «... o valor da gratificação não seja inferior a um terço do salário do cargo efetivo», impõe a obrigatoriedade de uma parcela com a natureza e finalidade próprias da investidura do empregado de modo a enquadrá-lo na citada regra legal. A exigência da gratificação em valor de no mínimo 1/3 sobre o salário do cargo efetivo deriva do pressuposto da investidura do empregado em funções que exijam fidúcia especial. Ora, os valores pagos pelo demandado a título de AP - adicional de função a representação não estão necessariamente vinculados a investidura especial do bancário, assim como a ADI - adicional de dedicação integral que, pela sua qualificação parece destinado a assegurar a integral e conclusiva prestação de trabalho, de modo a afastar o empregado de outras atividades paralelas. - Assim, adotando a orientação prevalente nesta Corte e alterando entendimento até aqui esposado, dá-se provimento ao recurso, para excluída a eficácia da relação do âmbito do § 2º do art. 224 da CLT condenar o demandado no pagamento de duas horas extras por dia, com reflexos no repouso semanal remunerado, FGTS, gratificações, 13º salário, férias, licença-prêmio e abonos-assiduidade, bem como sua integração nos proventos de aposentadoria do obreiro, conforme pleiteado na exordial, observado o biênio prescricional. - Deram Provimento ao Recurso. Proc. TST-RR-6.248/87/87.1, Ac. de 04.04.1989 Arquivo do EMFOR - TST/2.471 EMFOR 491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cumprida a exigência legal de pagamento de gratificação especial, com a natureza e finalidade próprias da investidura do bancário em função de confiança, não se reconhece a vinculação da eficácia da relação jurídica à exceção do § 2º do art. 224 da CLT. As gratificações AP e ADI não guardam a necessária relação com a investidura especial do empregado.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2026-07-28T03:49:04.018Z</dcterms:created>
  <dcterms:modified xsi:type="dcterms:W3CDTF">2026-07-28T03:49:04.018Z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