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SALÁRIO COMPLESSIVO</w:t>
      </w:r>
    </w:p>
    <w:p>
      <w:r>
        <w:rPr>
          <w:i/>
          <w:iCs/>
          <w:color w:val="666666"/>
        </w:rPr>
        <w:t xml:space="preserve">HORAS EXTRAS E ADICIONAL NOTURNO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EMPREGADO CEDIDO AO TRIBUNAL REGIONAL ELEITORAL — QUANDO RESPONDE O BANCO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Eg. 4º Regional, através do acórdão de ..., manteve a sentença que condenou o reclamado ao pagamento das horas extras, sob o fundamento de que, tratando-se de cedência sem ônus para o Tribunal Regional Eleitoral, o excesso da jornada é de responsabilidade do banco. - ..................................................... - O tribunal "a quo" confirmou a sentença originária, concluindo ser responsabilidade do banco-reclamado o pagamento das horas extras, porquanto o reclamante foi cedido ao Tribunal Regional Eleitoral sem ônus para aquela Corte, permanecendo a empresa responsável pela jornada laboral. - O único aresto oferecido ... consegue demonstrar dissenso jurisprudêncial válido. - .................................................. - Não há nenhum elemento nos autos que defina a responsabilidade pelo pagamento do trabalho do servidor cedido pela empresa, que assume o risco da atividade econômica. O Banco destinou o empregado ao Tribunal Regional Eleitoral, mas não assegurou a ele os vencimentos do trabalho extraordinário; é justo que ele arque com o ônus como determinou o Eg. Regional, condenando-o. Ac. nº 1804/95 de 10-05-1995 VENCIDO O MINISTRO WAGNER PIMENTA Arquivo do EMFOR - TST/01-96 EMFOR 572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nenhum elemento nos autos que defina a responsabilidade pelo pagamento do trabalho do servidor cedido pela empresa, que assume o risco da atividade econômica. O Banco destinou o empregado ao Tribunal Regional Eleitoral, mas não assegurou a ele os vencimentos do trabalho extraordinário; é justo que ele arque com o ônus.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2026-07-28T03:40:25.651Z</dcterms:created>
  <dcterms:modified xsi:type="dcterms:W3CDTF">2026-07-28T03:40:25.651Z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