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/>
    <w:p>
      <w:r>
        <w:t xml:space="preserve">QUAIS AS DÍVIDAS A ELA SUJEITAS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compensação, na Justiça do Trabalho, está restrita a dívidas de natureza trabalhista. Referência: Art. 767 da CLT. Arts. 1009 e 1024 do Código Civil. Aprovado pela Resolução Administrativa nº 28/69, de 14.08.69. Publicado no Diário Oficial, Parte III, pág. 13.393, em 21.08.69.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2026-10-16T17:23:08.819Z</dcterms:created>
  <dcterms:modified xsi:type="dcterms:W3CDTF">2026-10-16T17:23:08.819Z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