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Julgado em: </w:t>
      </w:r>
      <w:r>
        <w:t xml:space="preserve">11/12/1996</w:t>
      </w:r>
    </w:p>
    <w:p/>
    <w:p>
      <w:r>
        <w:t xml:space="preserve">PRESUNÇÃO DE CERTEZA E LIQUIDEZ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Aliás, a dívida regularmente inscrita goza da presunção de certeza e liquidez, com efeito de prova pré-constituída, invertendo-se o ônus da prova. Ao executado ou ao terceiro a quem aproveite cabe ilidi-la (CTN, art. 204; Lei 6.830/80, art. 3º). - Ressalte-se que a notificação foi recebida pelo sócio do embargante, de que houve ciência inequívoca o destinatário. - É certo, ainda, que o termo de inscrição da dívida ativa contém todos os elementos essenciais, a possibilitar o devedor investigar a origem do lançamento. O requisito do número do processo administrativo ou do auto de infração é dispensável, se deles não se originou o crédito, nos termos do art. 202, V, do CTN e art. 2º, § 5º, inc. VI, da Lei 6.830/80 (BELTRAME, FERNANDES DE OLIVEIRA E STOCO, O Procedimento na Cobrança da Dívida Ativa da Fazenda Pública, p. 16, RT, 1981). - Passa-se ao exame do caso sub judice. - O contribuinte "Firma Antonio Anastácio de Faria", com endereço na rua Ruy Barbosa, n. 1.868, inscreveu-se na Prefeitura de Tambaú na atividade de indústria de confecções de roupas, a partir de 01.06.1986. - Cuida-se de firma individual, com a qual se confunde a pessoa física do empresário (RUBENS REQUIÃO, Curso de Direito Comercial, p. 55, Saraiva, 1973; FÁBIO ULHÔA COELHO, Código Comercial e Legislação Complementar Anotados, p. 6, Saraiva, 1995), em cujo nome se recolheu regularmente o tributo de 1986 e 1990. - O comerciante Antonio A. F. já havia constituído desde 20.02.1986, com mais dois outros sócios, uma sociedade por quotas de responsabilidad e limitada para operar no mesmo ramo de atividade e endereço, sob a denominação social de "Faria Malhas e Confecções Ltda. ME". O fato, todavia, não foi comunicado à Municipalidade. Em 02.01.1990, por alteração contratual, a sociedade transferiu a sede social para a rua Coronel José Vilella n. 93, ali passando a exercer suas atividades. A firma individual continuou na rua Ruy Barbosa, também confeccionando roupas. - Perante a Municipalidade, portanto, só existia a firma individual e em seu nome vinham sendo lançados os tributos. Mas no ano de 1991 a fiscalização descobriu a existência da sociedade por quotas e a inscreveu no cadastro da Prefeitura, passando a cobrar-lhe a taxa com fundamento legal na Lei 911/90. - Como a pessoa jurídica "Faria Malhas e Confecções Ltda." pagou o tributo referente ao exercício de 1991, o apelante sustenta estar havendo duplicidade de exação no período, sob o mesmo título. Mas não lhe assiste razão. São duas firmas distintas, funcionando em endereços diferentes, ambas cadastradas junto à Prefeitura, pelo menos até que o interessado solicite baixa na inscrição de uma delas. - Releva conotar que somente em 16.10.1992 é que foi dirigido requerimento nesse sentido ao alcaide, donde se conclui ser legítima a inscrição da dívida por lançamento feito no ano de 1991. - Pelo exposto, nega-se provimento ao recurso. Julgado em 12-12-1996 Revista dos Tribunais, Julho de 1997, vol. 741, pág. 280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dívida ativa da Fazenda Pública regularmente inscrita goza de presunção de certeza e liquidez, com efeito de prova pré-constituída, sendo dispensável para sua eficácia o número do processo administrativo ou do auto de infração, se deles não se originou o crédito, nos termos do art. 202, V, do CTN e art. 2º, § 5º, VI, da Lei 6.830/80.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2026-07-27T23:53:21.370Z</dcterms:created>
  <dcterms:modified xsi:type="dcterms:W3CDTF">2026-07-27T23:53:21.370Z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