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/>
    <w:p>
      <w:r>
        <w:t xml:space="preserve">SERVIDOR MUNICIPAL VINCULADO A REGIME CELETISTA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Servidor Público Municipal, regido pela Consolidação das Leis do Trabalho ajuizou Reclamação Trabalhista, visando o recebimento de verbas referentes a diferenças de Salários, 13º Salários, Férias, FGTS, aviso prévio, horas extras e demais, por ter sido demitido, alega, sem justa causa. - O Juízo comum entendendo ser a lide nitidamente trabalhista, suscitou este conflito, apontando o Juízo Trabalhista como competente. - O Parecer do Ministério Público Federal; é pelo conhecimento do Conflito e Competência da Justiça Trabalhista. - ............................................... - ... As verbas reclamadas são da esfera da Consolidação das Leis do Trabalho. - Assim, em acordo com o Ministério Público Federal, conheço do conflito e declaro competente a Junta de Conciliação e Julgamento de Caruaru-PE. Ac. de 21-10-1993 Rev. do Sup. Tribunal de Justiça - Outubro de 1994 - Nº 62 - Pág. 25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 a reclamação de questões nitidamente trabalhistas e estando o servidor do Município vinculado a regime celetista, indubitável a competência da Justiça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2026-10-16T16:10:58.278Z</dcterms:created>
  <dcterms:modified xsi:type="dcterms:W3CDTF">2026-10-16T16:10:58.278Z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