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93.403-1</w:t>
      </w:r>
    </w:p>
    <w:p>
      <w:r>
        <w:rPr>
          <w:b/>
          <w:bCs/>
        </w:rPr>
        <w:t xml:space="preserve">Julgado em: </w:t>
      </w:r>
      <w:r>
        <w:t xml:space="preserve">09/06/1986</w:t>
      </w:r>
    </w:p>
    <w:p/>
    <w:p>
      <w:r>
        <w:t xml:space="preserve">FUNCIONÁRIO CEDIDO PELA UNIÃO — RECLAMAÇÃO TRABALHISTA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competência, por certo, é da Justiça do Trabalho. - A hipótese se identifica com aquela que foi objeto do RE nº 93.403-1 - RS, e cujo acórdão assim ficou ementado: &lt;&lt; Reclamação trabalhista. Ferroviários da antiga Viação Férrea do Rio Grande do Sul cedidos à RFF S/A. - Vantagens de índole trabalhista. Competência da Justiça do Trabalho. Inaplicabilidade do art. 98 da Constituição Federal, &lt;&lt;eis que não se cogita de Controvérsia sobre normas estatutárias, em face da União ou do Estado, mas de vantagens trabalhistas de cedidos diante da RFF S/A.&gt;&gt;. Recurso extraordinário não conhecido.&gt;&gt; (DJ de 05-11-82). - Na ocasião de tal julgamento, lembrou o Ministro RAFAEL MAYER, no seu voto-vista: &lt;&lt;Igualmente o RE 88.864, Relator para o acórdão o eminente Ministro MOREIRA ALVES, assim ementado: &lt;&lt;Servidores públicos federais cedidos à Rede Ferroviária Federal S/A. Quinquênios. Pretensão que não visa a vantagens estatutárias a que teriam direito ainda que não estivessem cedidos á Rede Ferroviária, mas, sim a que esta, enquanto perdurar a cessão, lhes estenda uma vantagem salarial de que desfrutam os seus contratos pelo regime da CLT. - Para decidir questões dessa ordem, competente é a Justiça Trabalhista. Recurso extraordinário conhecido.&gt;&gt; - Pelo exposto, encontrando-se a decisão impugnada em harmonia com a jurisprudência desta Corte, não conheço do recurso. Julgado em 10-06-1986 Revista Trimestral de Jurisprudência. Vol. 119 (Janeiro/87)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reclamação trabalhista de funcionário público que, antes cedido, passou a integrar o quadro de servidores da Rede Ferroviária Federal S/A., a competência para processar e julgar o feito é da Justiça do Trabalho, pouco importando que a reivindicação trabalhista ajuizada decorra de situação que detinha ainda quando integrava a Administração direta, como estatutário.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2026-07-28T03:30:21.845Z</dcterms:created>
  <dcterms:modified xsi:type="dcterms:W3CDTF">2026-07-28T03:30:21.845Z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