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CIVIL E PROC CIVIL</w:t>
      </w:r>
    </w:p>
    <w:p>
      <w:r>
        <w:rPr>
          <w:i/>
          <w:iCs/>
          <w:color w:val="666666"/>
        </w:rPr>
        <w:t xml:space="preserve">EMBARGOS À EXECUÇÃO FISCAL</w:t>
      </w:r>
    </w:p>
    <w:p/>
    <w:p>
      <w:r>
        <w:rPr>
          <w:b/>
          <w:bCs/>
        </w:rPr>
        <w:t xml:space="preserve">Tribunal: </w:t>
      </w:r>
      <w:r>
        <w:t xml:space="preserve">TFR</w:t>
      </w:r>
    </w:p>
    <w:p/>
    <w:p>
      <w:r>
        <w:t xml:space="preserve">POSTERIOR MUDANÇA — SE DESLOCA A COMPETÊNCIA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como a diligência de citação só foi realizada 08 (oito) meses após o ajuizamento, tudo indica que houve mudança posterior de domicílio, sendo aplicável a Súmula nº 189 (*) do TFR, verbis: "Proposta a execução fiscal, a posterior mudança do domicílio, do executado não desloca a competência já fixada". - Neste sentido os precedentes desta Colenda Corte, nos conflitos de Competência nºs. 317 - SP , DJ de 28-8-89, 1.047 - DF, DJ de 30-4-90 e 1.196 - RS, DJ de 18-6-90. - Tratando-se de competência relativa, não podia o MM. Juiz Federal de Londrina, de ofício, declinar de sua competência e assim vem, reiteradamente, entendendo este Colendo Tribunal, bastando citar os seguintes precedentes, nos conflitos de competência números 001 - RJ, DJ de 28-8-89, 09 - RJ, DJ de 21-8-89, 254 - RJ, DJ de 28-8-89, 1.499 - SP, DJ de 18-2-91, 1.519 - SP, DJ de 8-4-91. Ac. de 11-10-1991 DJ de 25-11-1991 Arquivo do EMFOR - STJ/574 EMFOR 521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"Proposta a execução fiscal, a posterior mudança do domicílio do executado não desloca a competência já fixada."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2026-07-28T04:13:15.826Z</dcterms:created>
  <dcterms:modified xsi:type="dcterms:W3CDTF">2026-07-28T04:13:15.826Z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