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CAUSA ENTRE SINDICATO E ASSOCIADO</w:t>
      </w:r>
    </w:p>
    <w:p/>
    <w:p/>
    <w:p>
      <w:r>
        <w:t xml:space="preserve">CABIMENTO PARA CONFIGURAR A MORA DO TRABALHADOR NO RECEBIMENTO DE SEUS CRÉDITOS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que não há o que ser reformado na r. sentença recorrida, porque é manifesto o atraso no pagamento das verbas resilitórias, que somente ocorreu em audiência perante a MM. Junta, sem nenhuma correção. Se houve desinteresse do recorrido no recebimento de seu crédito, como sustenta a recorrente, incumbia à empresa propor ação de consignação em pagamento para livrar-se da multa questionada. Ao contrário do que alega a recorrente, essa ação é perfeitamente cabível no foro trabalhista, por força do art. 769, da CLT, conforme a doutrina e a jurisprudência. A simples apresentação do instrumento rescisório, com o carimbo da entidade sindical, sem maiores esclarecimentos, não configura a mora do credor, conforme decidiu a MM. Junta. Ac. nº 2368 de 14-06-1993 Arquivo do EMFOR - TRT/473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 a ação de consignação em pagamento na Justiça do Trabalho, com vistas a configurar a mora do trabalhador quanto à alegada recusa no recebimento de seus créditos em razão de rescisão contratual.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2026-07-28T00:28:51.464Z</dcterms:created>
  <dcterms:modified xsi:type="dcterms:W3CDTF">2026-07-28T00:28:51.464Z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