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CAUSA ENTRE SINDICATO E ASSOCIADO</w:t>
      </w:r>
    </w:p>
    <w:p/>
    <w:p/>
    <w:p>
      <w:r>
        <w:t xml:space="preserve">CABIMENTO PARA CONFIGURAR A MORA DO TRABALHADOR NO RECEBIMENTO DE SEUS CRÉDITOS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Entendo que não há o que ser reformado na r. sentença recorrida, porque é manifesto o atraso no pagamento das verbas resilitórias, que somente ocorreu em audiência perante a MM. Junta, sem nenhuma correção. Se houve desinteresse do recorrido no recebimento de seu crédito, como sustenta a recorrente, incumbia à empresa propor ação de consignação em pagamento para livrar-se da multa questionada. Ao contrário do que alega a recorrente, essa ação é perfeitamente cabível no foro trabalhista, por força do art. 769, da CLT, conforme a doutrina e a jurisprudência. A simples apresentação do instrumento rescisório, com o carimbo da entidade sindical, sem maiores esclarecimentos, não configura a mora do credor, conforme decidiu a MM. Junta. Ac. nº 2368 de 14-06-1993 Arquivo do EMFOR - TRT/473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cabível a ação de consignação em pagamento na Justiça do Trabalho, com vistas a configurar a mora do trabalhador quanto à alegada recusa no recebimento de seus créditos em razão de rescisão contratual.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2026-10-26T02:41:47.338Z</dcterms:created>
  <dcterms:modified xsi:type="dcterms:W3CDTF">2026-10-26T02:41:47.338Z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