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p>
      <w:r>
        <w:t xml:space="preserve">02.4 TÍTULO II — DAS NORMAS GERAIS DE TUTELA DO TRABALHO
      CAPÍTULO IV - DAS FÉRIAS ANUAIS</w:t>
      </w:r>
    </w:p>
    <w:p/>
    <w:p>
      <w:pPr>
        <w:pStyle w:val="Heading2"/>
      </w:pPr>
      <w:r>
        <w:rPr>
          <w:b/>
          <w:bCs/>
        </w:rPr>
        <w:t xml:space="preserve">Ementa</w:t>
      </w:r>
    </w:p>
    <w:p>
      <w:r>
        <w:t xml:space="preserve">CAPÍTULO IV DAS FÉRIAS ANUAIS (Redação dada ao Capítulo pelo Decreto-lei nº 1.535/77) SEÇÃO I DO DIREITO A FÉRIAS E DA SUA DURAÇÃO Art. 129. Todo empregado terá direito anualmente ao gozo de um período de férias, sem prejuízo da remuneração. (v. C F art. 7º e XVII) Art. 130. Após cada período de 12 (doze) meses de vigência do contrato de trabalho, o empregado terá direito a férias, na seguinte proporção: (v. art. 7º, XVII, da C F) I - 30 (trinta) dias corridos, quando não houver faltado ao serviço mais de 5 (cinco) vezes; II - 24 (vinte e quatro) dias corridos, quando houver tido de 6 (seis) a 14 (quatorze) faltas; III - 18 (dezoito) dias corridos, quando houver tido de 15 (quinze) a 23 (vinte e três) faltas; IV - 12 (doze) dias corridos, quando houver tido de 24 (vinte e quatro) a 32 (trinta e duas) faltas. § 1º. É vedado descontar, do período de férias, as faltas do empregado ao serviço. § 2º. O período das férias será computado, para todos os efeitos, como tempo de serviço. Art. 130-A Na modalidade do regime de tempo parcial, após cada período de doze meses de vigência do contrato de trabalho, o empregado terá direito a férias, na seguinte proporção: I - dezoito dias, para a duração do trabalho semanal superior a vinte e duas horas, até vinte e cinco horas; II - dezesseis dias, para a duração do trabalho semanal superior a vinte horas, até vinte e duas horas; III - quatorze dias, para a duração do trabalho semanal superior a quinze horas, até vinte horas; IV - doze dias, para a duração do trabalho semanal superior a dez horas, até quinze horas; V - dez dias, para a duração do trabalho semanal superior a cinco horas, até dez horas; VI - oito dias, para a duração do trabalho semanal igual ou inferior a cinco horas. Parágrafo único: O empregado contratado sob o regime de tempo parcial que tiver mais de sete faltas injustificadas ao longo do período aquisitivo terá o seu período de férias reduzido à metade. (Artigo acrescentado pela MP 1.709-4 de 27 de novembro de 1998) Art. 131. Não será considerada falta ao serviço, para os efeitos do artigo anterior, a ausência do empregado: I - nos casos referidos no art. 473; II - durante o licenciamento compulsório da empregada por motivo de maternidade ou aborto, observados os requisitos para percepção do salário-maternidade custeado pela Previdência Social. (Redação dada pela Lei nº 8.921/94) III - por motivo de acidente do trabalho ou enfermidade atestada pelo Instituto Nacional do Seguro Social - INSS, excetuada a hipótese do inciso IV do art. 133; (Redação dada pela Lei nº 8.726/93) IV - justificada pela empresa, entendendo-se como tal a que não tiver determinado o desconto do correspondente salário; V - durante a suspensão preventiva para responder a inquérito administrativo ou de prisão preventiva, quando for impronunciado ou absolvido; e VI - nos dias em que não tenha havido serviço, salvo na hipótese do inciso III do art. 133. Art. 132. O tempo de trabalho anterior à apresentação do empregado para serviço militar obrigatório será computado no período aquisitivo, desde que ele compareça ao estabelecimento dentro de 90 (noventa) dias da data em que se verificar a respectiva baixa. Art. 133. Não terá direito a férias o empregado que, no curso do período aquisitivo: I - deixar o emprego e não for readmitido dentro dos 60 (sessenta) dias subsequentes à sua saída; II - permanecer em gozo de licença, com percepção de salários, por mais de 30 (trinta) dias; III - deixar de trabalhar, com percepção do salário, por mais de 30 (trinta) dias em virtude de paralisação parcial ou total dos serviços da empresa; e IV - tiver percebido da Previdência Social prestações de acidente de trabalho ou de auxílio-doença por mais de 6 (seis) meses, embora descontínuos. § 1º. A interrupção da prestação de serviços deverá ser anotada na Carteira de Trabalho e Previdência Social. § 2º. Iniciar-se-á o decurso de novo período aquisitivo quando o empregado, após o implemento de qualquer das condições previstas neste artigo, retornar ao serviço. § 3º. Para os fins previstos no inciso III deste artigo, a empresa comunicará ao órgão local do Ministério do Trabalho, com antecedência mínima de quinze dias, as datas de início e fim da paralisação dos serviços da empresa, e, em igual prazo, comunicará, nos mesmos termos, ao Sindicato representativo da categoria profissional, bem como afixará aviso nos respectivos locais de trabalho. (Acrescentado pela Lei nº 9.013/95) SEÇÃO II DA CONCESSÃO E DA ÉPOCA DAS FÉR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2026-07-28T01:58:54.517Z</dcterms:created>
  <dcterms:modified xsi:type="dcterms:W3CDTF">2026-07-28T01:58:54.517Z</dcterms:modified>
</cp:coreProperties>
</file>

<file path=docProps/custom.xml><?xml version="1.0" encoding="utf-8"?>
<Properties xmlns="http://schemas.openxmlformats.org/officeDocument/2006/custom-properties" xmlns:vt="http://schemas.openxmlformats.org/officeDocument/2006/docPropsVTypes"/>
</file>