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04.2 TÍTULO IV — DO CONTRATO INDIVIDUAL DE TRABALHO
      CAPÍTULO II - DA REMUNERAÇÃO</w:t>
      </w:r>
    </w:p>
    <w:p/>
    <w:p>
      <w:pPr>
        <w:pStyle w:val="Heading2"/>
      </w:pPr>
      <w:r>
        <w:rPr>
          <w:b/>
          <w:bCs/>
        </w:rPr>
        <w:t xml:space="preserve">Ementa</w:t>
      </w:r>
    </w:p>
    <w:p>
      <w:r>
        <w:t xml:space="preserve">CAPÍTULO II DA REMUNERAÇÃO Art. 457. Compreendem-se na remuneração do empregado, para todos os efeitos legais, além do salário devido e pago diretamente pelo empregador, como contraprestação do serviço, as gorjetas que receber. (Redação dada pela Lei nº 1.999/53) § 1º. Integram o salário, não só a importância fixa estipulada, como também as comissões, percentagens, gratificações ajustadas, diárias para viagem e abonos pagos pelo empregador. (Redação dada pela Lei nº 1.999/53) § 2º. Não se incluem nos salários as ajudas de custo, assim como as diárias para viagem que não excedam de cinqüenta por cento do salário percebido pelo empregado. (Redação dada pela Lei nº 1.999/53) § 3º. Considera-se gorjeta não só a importância espontaneamente dada pelo cliente ao empregado, como também aquela que for cobrada pela empresa ao cliente, como adicional nas contas, a qualquer título e destinada à distribuição aos empregados. (Acrescentado pelo Decreto-lei nº 229/67) Art. 458. Além do pagamento em dinheiro, compreendem-se no salário, para todos os efeitos legais, a alimentação, habitação, vestuário ou outras prestações in natura que a empresa, por força do contrato ou do costume, fornecer habitualmente ao empregado. Em caso algum será permitido o pagamento com bebidas alcoólicas ou drogas nocivas. § 1º. Os valores atribuídos às prestações in natura deverão ser justos e razoáveis, não podendo exceder, em cada caso, os dos percentuais das parcelas componentes do salário mínimo (arts. 81 e 82). § 2º Para os efeitos previstos neste artigo, não serão consideradas como salário as seguintes utilidades concedidas pelo empregador: I - vestuários, equipamentos e outros acessórios fornecidos aos empregados e utilizados no local de trabalho, para a prestação do serviço; II - educação, em estabelecimento de ensino próprio ou de terceiros, compreendendo os valores relativos a matrícula, mensalidade, anuidade , livros e material didático; III - transporte destinado ao deslocamento para o trabalho e retorno, em percurso servido ou não por transporte público; IV - assistência médica, hospitalar e odontológica, prestada diretamente ou mediante seguro-saúde; V - seguros de vida e de acidentes pessoais; VI - previdência privada; VII - (VETADO) (Parágrafo com redação dada pela Lei 10.243/01) Redação anterior: "§ 2º. Não serão considerados como salário, para os efeitos previstos neste artigo, os vestuários, equipamentos e outros acessórios fornecidos ao empregado e utilizados no local de trabalho, para a prestação dos respectivos serviços. (Redação dada pelo Decreto-lei nº 229/67)" § 3º. A habitação e a alimentação fornecidas como salário-utilidade deverão atender aos fins a que se destinam e não poderão exceder, respectivamente, a 25% (vinte e cinco por cento) e 20% (vinte por cento) do salário-contratual. § 4º. Tratando-se de habitação coletiva, o valor do salário-utilidade a ela correspondente será obtido mediante a divisão do justo valor da habitação pelo número de co-ocupantes, vedada, em qualquer hipótese, a utilização da mesma unidade residencial por mais de uma família. (Parágrafos 3º e 4º acrescentados pela Lei nº 8.860/94) Art. 459. O pagamento do salário, qualquer que seja a modalidade do trabalho, não deve ser estipulado por período superior a um mês, salvo no que concerne a comissões, percentagens e gratificações. § 1º. Quando o pagamento houver sido estipulado por mês, deverá ser efetuado, o mais tardar, até o quinto dia útil do mês subsequente ao vencido. (Redação dada pela Lei nº 7.855/89) Art. 460. Na falta de estipulação do salário ou não havendo prova sobre a importância ajustada, o empregado terá direito a perceber salário igual ao daquele que, na mesma empresa, fizer serviço equivalente, ou do que for habitualmente pago para serviço semelhante. Art. 461. Sendo idêntica a função, a todo trabalho de igual valor, prestado ao mesmo empregador, na mesma localidade, corresponderá igual salário, sem distinção de sexo, nacionalidade ou idade. § 1º - Trabalho de igual valor, para os fins deste capítulo, será o que for feito com igual produtividade e com a mesma perfeição técnica, entre pessoas cuja diferença de tempo de serviço não for superior a dois anos. § 2º. Os dispositivos deste artigo não prevalecerão quando o empregador tiver pessoal organizado em quadro de carreira, hipótese em que as promoções deverão obedecer aos critérios de antigüidade e merecimento. § 3º - No caso do parágrafo anterior, as promoções deverão ser feitas alternada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2026-07-28T07:09:33.033Z</dcterms:created>
  <dcterms:modified xsi:type="dcterms:W3CDTF">2026-07-28T07:09:33.033Z</dcterms:modified>
</cp:coreProperties>
</file>

<file path=docProps/custom.xml><?xml version="1.0" encoding="utf-8"?>
<Properties xmlns="http://schemas.openxmlformats.org/officeDocument/2006/custom-properties" xmlns:vt="http://schemas.openxmlformats.org/officeDocument/2006/docPropsVTypes"/>
</file>