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04.7 TÍTULO IV — DO CONTRATO INDIVIDUAL DE TRABALHO
      CAPÍTULO VII - DA ESTABILIDADE</w:t>
      </w:r>
    </w:p>
    <w:p/>
    <w:p>
      <w:pPr>
        <w:pStyle w:val="Heading2"/>
      </w:pPr>
      <w:r>
        <w:rPr>
          <w:b/>
          <w:bCs/>
        </w:rPr>
        <w:t xml:space="preserve">Ementa</w:t>
      </w:r>
    </w:p>
    <w:p>
      <w:r>
        <w:t xml:space="preserve">CAPÍTULO VII DA ESTABILIDADE Art. 492. O empregado que contar mais de dez anos de serviço na mesma empresa não poderá ser despedido senão por motivo de falta grave ou circunstância de força maior, devidamente comprovadas. Parágrafo único. Considera-se como de serviço todo o tempo em que o empregado esteja à disposição do empregador. Art. 493. Constitui falta grave a prática de qualquer dos fatos a que se refere o art. 482, quando por sua repetição ou natureza representem séria violação dos deveres e obrigações do empregado. Art. 494. O empregado acusado de falta grave poderá ser suspenso de suas funções, mas a sua despedida só se tornará efetiva após o inquérito em que se verifique a procedência da acusação. Parágrafo único. A suspensão, no caso deste artigo, perdurará até a decisão final do processo. Art. 495. Reconhecida a inexistência de falta grave praticada pelo empregado, fica o empregador obrigado a readmiti-lo no serviço e a pagar-lhe os salários a que teria direito no período da suspensão. Art. 496. Quando a reintegração do empregado estável for desaconselhável, dado o grau de incompatibilidade resultante do dissídio, especialmente quando for o empregador pessoa física, o tribunal do trabalho poderá converter aquela obrigação em indenização devida nos termos do artigo seguinte. Art. 497. Extinguindo-se a empresa, sem a ocorrência de motivo de força maior, ao empregado estável despedido é garantida a indenização por rescisão do contrato por prazo indeterminado, paga em dobro. Art. 498. Em caso de fechamento do estabelecimento, filial ou agência, ou supressão necessária de atividade, sem ocorrência de motivo de força maior, é assegurado aos empregados estáveis, que ali exerçam suas funções, o direito à indenização, na forma do artigo anterior. Art. 499. Não haverá estabilidade no exercício dos cargos de diretoria, gerência ou outros de confi ança imediata do empregador, ressalvado o cômputo do tempo de serviço para todos os efeitos legais. § 1º. Ao empregado garantido pela estabilidade, que deixar de exercer cargo de confiança, é assegurada, salvo no caso de falta grave, a reversão ao cargo efetivo que haja anteriormente ocupado. § 2º. Ao empregado despedido sem justa causa, que só tenha exercido cargo de confiança e que contar mais de dez anos de serviço na mesma empresa, é garantida a indenização proporcional ao tempo de serviço nos termos dos arts. 477 e 478. § 3º. A despedida que se verificar com o fim de obstar ao empregado a aquisição de estabilidade, sujeitará o empregador a pagamento em dobro da indenização prescrita nos arts. 477 e 478. Art. 500. O pedido de demissão do empregado estável só será válido quando feito com a assistência do respectivo Sindicato e, se não o houver, perante autoridade local competente do Ministério do Trabalho ou da Justiça do Trabalho. (Redação dada pela Lei nº 5.584/70)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2026-07-28T01:58:39.807Z</dcterms:created>
  <dcterms:modified xsi:type="dcterms:W3CDTF">2026-07-28T01:58:39.807Z</dcterms:modified>
</cp:coreProperties>
</file>

<file path=docProps/custom.xml><?xml version="1.0" encoding="utf-8"?>
<Properties xmlns="http://schemas.openxmlformats.org/officeDocument/2006/custom-properties" xmlns:vt="http://schemas.openxmlformats.org/officeDocument/2006/docPropsVTypes"/>
</file>