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Agravo de Instrumento .</w:t>
      </w:r>
    </w:p>
    <w:p>
      <w:r>
        <w:rPr>
          <w:b/>
          <w:bCs/>
        </w:rPr>
        <w:t xml:space="preserve">Tribunal: </w:t>
      </w:r>
      <w:r>
        <w:t xml:space="preserve">TST</w:t>
      </w:r>
    </w:p>
    <w:p/>
    <w:p>
      <w:r>
        <w:t xml:space="preserve">10.2 TÍTULO X — DO MINISTÉRIO PÚBLICO DO TRABALHO
      CAPÍTULO III - DOS DISSÍDIOS INDIVIDUAIS
      CAPÍTULO IV - DOS DISSÍDIOS COLETIVOS</w:t>
      </w:r>
    </w:p>
    <w:p/>
    <w:p>
      <w:pPr>
        <w:pStyle w:val="Heading2"/>
      </w:pPr>
      <w:r>
        <w:rPr>
          <w:b/>
          <w:bCs/>
        </w:rPr>
        <w:t xml:space="preserve">Ementa</w:t>
      </w:r>
    </w:p>
    <w:p>
      <w:r>
        <w:t xml:space="preserve">CAPÍTULO III DOS DISSÍDIOS INDIVIDUAIS SEÇÃO I DA FORMA DE RECLAMAÇÃO E DA NOTIFICAÇÃO Art. 837. Nas localidades em que houver apenas uma Junta de Conciliação e Julgamento, ou um escrivão do cível, a reclamação será apresentada diretamente à secretaria da Junta, ou ao cartório do Juízo. Art. 838. Nas localidades em que houver mais de uma Junta ou mais de um Juízo, ou escrivão do cível, a reclamação será, preliminarmente, sujeita a distribuição na forma do disposto no Capítulo II, Seção II, deste Título. Art. 839. A reclamação poderá ser apresentada: a) pelos empregados e empregadores, pessoalmente, ou por seus representantes e pelos sindicatos de classe; b) por intermédio das Procuradorias Regionais da Justiça do Trabalho. Art. 840. A reclamação poderá ser escrita ou verbal. § 1º. Sendo escrita, a reclamação deverá conter a designação do presidente da Junta, ou do juiz de Direito, a quem for dirigida, a qualificação do reclamante e do reclamado, uma breve exposição dos fatos de que resulte o dissídio, o pedido, a data e a assinatura do reclamante ou de seu representante. § 2º. Se verbal, a reclamação será reduzida a termo, em duas vias datadas e assinadas pelo escrivão ou chefe de secretaria, observado, no que couber, o disposto no parágrafo anterior. (Redação dada pela Lei nº 409/48) Art. 841. Recebida e protocolada a reclamação, o escrivão ou chefe de secretaria, dentro de 48 horas, remeterá a segunda via da petição, ou do termo, ao reclamado, notificando-o, ao mesmo tempo, para comparecer à audiência de julgamento, que será a primeira desimpedida, depois de cinco dias. § 1º. A notificação será feita em registro postal com franquia. Se o reclamado criar embaraços ao seu recebimento, ou não for encontrado, far-se-á a notificação por edital, inserto no jornal oficial ou no que publicar o expediente forense, ou, na falta, afixado na sede da Junta ou Juízo. § 2º. O reclamante será notificado no ato da apresentação da reclamação ou na forma do parágrafo anterior. Art. 842. Sendo várias as reclamações e havendo identidade de matéria, poderão ser acumuladas num só processo, se se tratar de empregados da mesma empresa ou estabelecimento. SEÇÃO II DA AUDIÊNCIA DE JULGAMENTO Art. 843. Na audiência de julgamento deverão estar presentes o reclamante e o reclamado, independentemente do comparecimento de seus representantes, salvo nos casos de Reclamatórias Plúrimas ou Ações de Cumprimento, quando os empregados poderão fazer-se representar pelo sindicato de sua categoria. (Alterada pela Lei nº 6.667/79) § 1º. É facultado ao empregador fazer-se substituir pelo gerente, ou qualquer outro preposto que tenha conhecimento do fato, e cujas declarações obrigarão o proponente. § 2º. Se por doença ou qualquer outro motivo poderoso, devidamente comprovado, não for possível ao empregado comparecer pessoalmente, poderá fazer-se representar por outro empregado que pertença à mesma profissão, ou pelo seu sindicato. Art. 844. O não comparecimento do reclamante à audiência importa o arquivamento da reclamação, e o não comparecimento do reclamado importa revelia, além de confissão, quanto à matéria de fato. Parágrafo único. Ocorrendo, entretanto, motivo relevante, poderá o presidente suspender o julgamento, designando nova audiência. Art. 845. O reclamante e o reclamado comparecerão à audiência acompanhados das suas testemunhas, apresentando, nessa ocasião, as demais provas. Art. 846. Aberta a audiência, o Juiz ou presidente proporá a conciliação. § 1º. Se houver acordo lavrar-se-á termo, assinado pelo presidente e pelos litigantes, consignando-se o prazo e demais condições para seu cumprimento. § 2º. Entre as condições a que se refere o parágrafo anterior, poderá ser estabelecida a de ficar a parte que não cumprir o acordo obrigad a a satisfazer integralmente o pedido ou pagar uma indenização convencionada, sem prejuízo do cumprimento do acordo. (Redação dada pela Lei nº 9.022/95) Art. 847. Não havendo acordo, o reclamado terá vinte minutos para aduzir sua defesa, após a leitura da reclamação, quando esta não for dispensada por ambas as partes. (Redação dada pela Lei n º 9.022/95) Art. 848. Terminada a defesa, seguir-se-á a instrução do processo, podendo o presidente, "ex-officio" ou a requerimento de qualquer juiz temporário, interrogar os litigantes. (Redação dada pela Lei nº 9.022/95) § 1º. Findo o interrogatório, poderá qualquer dos litigantes retirar-se, prosseguindo a instrução com o seu representante. § 2º. Serão, a seguir, ouvidas as 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2026-07-28T01:58:55.802Z</dcterms:created>
  <dcterms:modified xsi:type="dcterms:W3CDTF">2026-07-28T01:58:55.802Z</dcterms:modified>
</cp:coreProperties>
</file>

<file path=docProps/custom.xml><?xml version="1.0" encoding="utf-8"?>
<Properties xmlns="http://schemas.openxmlformats.org/officeDocument/2006/custom-properties" xmlns:vt="http://schemas.openxmlformats.org/officeDocument/2006/docPropsVTypes"/>
</file>