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/>
    <w:p>
      <w:r>
        <w:t xml:space="preserve">ÔNUS DA PROVA — QUANDO CABE AO RECLAMANTE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verifico a fraude vislumbrada no entendimento da MM. Junta de Origem, eis que, conforme se conclui do depoimento da testemunha do próprio autor, não houve coação para que o autor integrasse a sociedade-ré. Informou aquela testemunha que "...também foi convidado a ser sócio da recda. sendo certo que aceitou". - Ora, o reclamante é pessoa esclarecida, possui graduação superior e não trouxe aos autos elementos robustos de que tivesse sido coagido a participar da sociedade-ré. - Confessou ele próprio que não possuía controle de jornada ou qualquer tipo de fiscalização em seu trabalho. O fato de não possuir poderes de administração deflui do contrato de sociedade, devendo de fato, pleitear os direitos que entende lesados junto à Justiça Comum, eis que, conforme salientado pela sentença recorrida, ainda faz parte da sociedade-reclamada. - Declarando inexistente o vínculo empregatício, absolvo a recorrida dos demais títulos a que foi condenada. Ac. de 10-03-1997 Arquivo do EMFOR S00245/595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Negando a reclamada o vínculo empregatício, compete ao reclamante comprovar robustamente a coexistência dos pressupostos do artigo 3º da CLT, mormente se integra a sociedade-ré e não tendo demonstrado robustamente a alegada coação quanto à participação na sociedade.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2026-06-17T15:18:52.089Z</dcterms:created>
  <dcterms:modified xsi:type="dcterms:W3CDTF">2026-06-17T15:18:52.089Z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