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Julgado em: </w:t>
      </w:r>
      <w:r>
        <w:t xml:space="preserve">17/06/1985</w:t>
      </w:r>
    </w:p>
    <w:p/>
    <w:p>
      <w:r>
        <w:t xml:space="preserve">PRESTAÇÃO DE SERVIÇOS A PRAZO CERTO — INDÚSTRIA DE FUMO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realidade cabe considerar, para a perfeita análise da matéria "sub judice", que a reclamada dedica-se ao beneficiamento do fumo em folha, atividade que se desenvolve num período limitado, em geral entre janeiro e julho, como bem refere a sentença originária. Assim, a atividade da recorrente deve ser considerada transitória, configurando-se a hipótese da previsão legal do art. 443, § 2º, letra "a", da CLT. - Não há falar, portanto, em invalidade do contrato firmado em decorrência da predeterminação de prazo de sua vigência. - Correta a sentença ao indeferir as parcelas rescisórias pleiteadas. Proc. TRT-9.473/84, Julgado em 18-06-1985 Arquivo do EMFOR, TRT/424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443, § 2º, letra "a", da Consolidação das Leis do Trabalho. - Considerada a atividade transitória da empresa que dedica-se ao beneficiamento de fumo, não há invalidade alguma no ajuste de prestação de serviços a prazo certo.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2026-10-16T16:15:51.209Z</dcterms:created>
  <dcterms:modified xsi:type="dcterms:W3CDTF">2026-10-16T16:15:51.209Z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