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Julgado em: </w:t>
      </w:r>
      <w:r>
        <w:t xml:space="preserve">17/06/1985</w:t>
      </w:r>
    </w:p>
    <w:p/>
    <w:p>
      <w:r>
        <w:t xml:space="preserve">PRESTAÇÃO DE SERVIÇOS A PRAZO CERTO — INDÚSTRIA DE FUMO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 cabe considerar, para a perfeita análise da matéria "sub judice", que a reclamada dedica-se ao beneficiamento do fumo em folha, atividade que se desenvolve num período limitado, em geral entre janeiro e julho, como bem refere a sentença originária. Assim, a atividade da recorrente deve ser considerada transitória, configurando-se a hipótese da previsão legal do art. 443, § 2º, letra "a", da CLT. - Não há falar, portanto, em invalidade do contrato firmado em decorrência da predeterminação de prazo de sua vigência. - Correta a sentença ao indeferir as parcelas rescisórias pleiteadas. Proc. TRT-9.473/84, Julgado em 18-06-1985 Arquivo do EMFOR, TRT/424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443, § 2º, letra "a", da Consolidação das Leis do Trabalho. - Considerada a atividade transitória da empresa que dedica-se ao beneficiamento de fumo, não há invalidade alguma no ajuste de prestação de serviços a prazo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2026-07-28T01:57:30.179Z</dcterms:created>
  <dcterms:modified xsi:type="dcterms:W3CDTF">2026-07-28T01:57:30.179Z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