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/>
    <w:p>
      <w:r>
        <w:t xml:space="preserve">SEU DEVER DE PAGAR AS CUSTAS FIXADAS NA SENTENÇA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vencedora na primeira instância, se vencida na segunda, está obrigada, independentemente da intimação, a pagar as custas fixadas na sentença originária, das quais ficará isenta a parte então vencida. Referência: Art. 789 da CLT. Aprovado pela Resolução Administrativa nº 57/70, de 11.11.70. Publicado no Diário Oficial, Parte III, GB, em 02.12.70, pág. 19.269 - nº 223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2026-10-16T17:18:15.387Z</dcterms:created>
  <dcterms:modified xsi:type="dcterms:W3CDTF">2026-10-16T17:18:15.387Z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