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/>
    <w:p>
      <w:r>
        <w:t xml:space="preserve">SEU DEVER DE PAGAR AS CUSTAS FIXADAS NA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parte vencedora na primeira instância, se vencida na segunda, está obrigada, independentemente da intimação, a pagar as custas fixadas na sentença originária, das quais ficará isenta a parte então vencida. Referência: Art. 789 da CLT. Aprovado pela Resolução Administrativa nº 57/70, de 11.11.70. Publicado no Diário Oficial, Parte III, GB, em 02.12.70, pág. 19.269 - nº 223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2026-07-28T03:39:37.276Z</dcterms:created>
  <dcterms:modified xsi:type="dcterms:W3CDTF">2026-07-28T03:39:37.276Z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