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CONTRIBUIÇÃO DE PREVIDÊNCIA</w:t>
      </w:r>
    </w:p>
    <w:p>
      <w:r>
        <w:rPr>
          <w:i/>
          <w:iCs/>
          <w:color w:val="666666"/>
        </w:rPr>
        <w:t xml:space="preserve">RECOLHIMENTO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ARMANDO DE BRITO</w:t>
      </w:r>
    </w:p>
    <w:p/>
    <w:p>
      <w:r>
        <w:t xml:space="preserve">FIXAÇÃO SUPERIOR A QUATRO HORAS — QUANDO É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Corte tem entendido que a Lei 3.999/61 prevê a possibilidade do contrato de trabalho fixar jornada de trabalho superior a quatro horas diárias, desde que respeitado o salário mínimo exigido para a categoria (precedentes: E-PR 55547/92 - AC. SDI 547/94 - Rel. Min. ARMANDO DE BRITO - DJ 13.05.94; E-PR- 238/89 - Ac. SDI 231/94 - Rel. Min. CNÉA MOREIRA - DJ 25.03.94). - Ressalte-se, ainda que a Lei 3.999/61 apenas prevê o piso salarial da categoria em questão para uma jornada de quatro horas, o que não significa que a referida lei tenha fixado tal jornada para a mesma. - Portanto, acolho os embargos, para excluir da condenação o pagamento das horas extras. Ac. de 29-11-1995 Arquivo do EMFOR, TST/ 3.343 EMFOR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 Corte tem entendido que a Lei 3.999/61 prevê a possibilidade do contrato de trabalho fixar jornada de trabalho superior a quatro horas diárias, desde que respeitado o salário mínimo exigido para a categoria. - Ressalte-se, ainda, que a Lei 3.999/61 apenas prevê o piso salarial da categoria em questão para uma jornada de quatro horas, o que não significa que a referida lei tenha fixado tal jornada para a mesma.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2026-07-28T01:58:21.232Z</dcterms:created>
  <dcterms:modified xsi:type="dcterms:W3CDTF">2026-07-28T01:58:21.232Z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