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/>
    <w:p>
      <w:r>
        <w:t xml:space="preserve">ENCAMINHAR, POR ENGANO, RECURSO ORDINÁRIO PARA TRIBUNAL DE JUSTIÇA — QUANDO NÃO SE VERIFICA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contra-razões o reclamante suscita preliminarmente, deserção ao fundamento de ter sido o recurso interposto ao Egrégio Tribunal de Justiça do Estado de Mato Grosso, quando deveria ter sido proposto junto ao Egrégio Tribunal Regional do Trabalho. O processo está devidamente preparado e a medida foi aviada dentro do prazo legal; irrelevante o engano do reclamado. - Rejeita-se. Ac. nº 0954 de 28-07-1993 Rev. do Tr. Reg. do Trabalho - Janeiro/Dezembro de 1993 - 23ª Região - Cuiabá - MT - Pág. 106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Encaminhar, por engano, Recurso Ordinário para Tribunal de Justiça, uma vez satisfeitas as condições de depósito e de preparo não configura deserção.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2026-10-16T16:08:42.073Z</dcterms:created>
  <dcterms:modified xsi:type="dcterms:W3CDTF">2026-10-16T16:08:42.073Z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