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/>
    <w:p>
      <w:r>
        <w:t xml:space="preserve">ENCAMINHAR, POR ENGANO, RECURSO ORDINÁRIO PARA TRIBUNAL DE JUSTIÇA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contra-razões o reclamante suscita preliminarmente, deserção ao fundamento de ter sido o recurso interposto ao Egrégio Tribunal de Justiça do Estado de Mato Grosso, quando deveria ter sido proposto junto ao Egrégio Tribunal Regional do Trabalho. O processo está devidamente preparado e a medida foi aviada dentro do prazo legal; irrelevante o engano do reclamado. - Rejeita-se. Ac. nº 0954 de 28-07-1993 Rev. do Tr. Reg. do Trabalho - Janeiro/Dezembro de 1993 - 23ª Região - Cuiabá - MT - Pág. 106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Encaminhar, por engano, Recurso Ordinário para Tribunal de Justiça, uma vez satisfeitas as condições de depósito e de preparo não configura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2026-07-28T01:18:00.056Z</dcterms:created>
  <dcterms:modified xsi:type="dcterms:W3CDTF">2026-07-28T01:18:00.056Z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