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29/10/1989</w:t>
      </w:r>
    </w:p>
    <w:p/>
    <w:p>
      <w:r>
        <w:t xml:space="preserve">DISPENSA NOS TRINTA DIAS QUE ANTECEDEM A DATA-BASE — VERBA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Colendo Tribunal já se pronunciou diversas vezes, no sentido de que os Decretos-Leis 2.283 e 2.284/86 não revogaram o artigo 9º da Lei 7.238/84, apenas determinaram que os reajustes passariam a ser anuais, mantendo-se a data-base para a negociação salarial nos dissídios de cada categoria. - Filio-me a esta tese e entendo devida a indenização adicional uma vez que restou evidenciado pela Egrégia Corte Regional que a dispensa do autor deu-se no trintídio antecedente da data-base de sua categoria profissional. - Ante o exposto, NEGO PROVIMENTO ao recurso, mantendo o v. acórdão revisando por seus próprios fundamentos. - Precedentes: TST-RR-7.077/88, Ac. 3ª T - 3.896, julgado em 30-10-1989; TST-RR-1.224/89, julgado em 27-6-89, Ac. 1ª T - nº 2.619; TST-RR-6.927/89, julgado em 3-10-89, Ac. 2ª T - nº 2.167; TST-RR-3.433/89, Ac. 2ª T - 942/90; TST-RR-7.285, Ac. 3ª T - 134/90). Ac. nº 1570 de 12-11-1990 Arquivo do EMFOR - TST/3.211 N. da Red.: Eis o Enunciado 314 (*) da Súmula do TST. (*) Ocorrendo a rescisão contratual no período de trinta dias que antecede a data-base, observado o Enunciado 182 do TST, o pagamento das verbas rescisórias com o salário já corrigido não afasta o direito a indenização adicional prevista nas Leis 6.708/79 e 7.238/84.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Decretos-Lei 2.283 e 2.284/86 não revogaram o art. 9º da Lei 7.238/84, apenas determinaram que os reajustes passariam a ser anuais, substituindo a indenização adicional neles prevista.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2026-10-16T17:20:59.457Z</dcterms:created>
  <dcterms:modified xsi:type="dcterms:W3CDTF">2026-10-16T17:20:59.457Z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