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CLÁUSULAS INCONSTITUCIONAIS</w:t>
      </w:r>
    </w:p>
    <w:p/>
    <w:p>
      <w:r>
        <w:rPr>
          <w:b/>
          <w:bCs/>
        </w:rPr>
        <w:t xml:space="preserve">Recurso: </w:t>
      </w:r>
      <w:r>
        <w:t xml:space="preserve">RE 97.357</w:t>
      </w:r>
    </w:p>
    <w:p>
      <w:r>
        <w:rPr>
          <w:b/>
          <w:bCs/>
        </w:rPr>
        <w:t xml:space="preserve">Julgado em: </w:t>
      </w:r>
      <w:r>
        <w:t xml:space="preserve">08/08/1985</w:t>
      </w:r>
    </w:p>
    <w:p/>
    <w:p>
      <w:r>
        <w:t xml:space="preserve">ESTABILIDADE — CLÁUSULA QUE A ESTABELECE - INCONSTITUCIONALIDADE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tema da estabilidade provisória do acidentado foi, não faz muito, objeto de exame nesta Turma, à vista dos autos do RE 97.357 (RTJ 110/1.111). O relator, Ministro DECIO MIRANDA, lembrou que esse benefício "é excrescente do quadro legal, fixado pela Lei de Acidentes do Trabalho. Trata-se de hipótese não reservada à normatividade do dissídio coletivo, prevista no art. 142, § 1º da Constituição." - Nessa diretriz o plenário, atento à preexistência de decisões conflitantes no âmbito das Turmas, veio a deslindar os ERE ns, 98.385 (RTJ 109/712), em outubro de 1983. Julgado em 09-08-1985 Revista Trimestral de Jurisprudência. Fevereiro, 1986 - Vol. 115 - Pág. 798. EMFOR 455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estabilidade provisória do acidentado "... é excrescente do quadro legal, fixado pela Lei de Acidentes do Trabalho. Trata-se de hipótese não reservada à normatividade do dissídio coletivo prevista no art. 142, § 1º, da Constituição".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2026-07-28T03:43:47.719Z</dcterms:created>
  <dcterms:modified xsi:type="dcterms:W3CDTF">2026-07-28T03:43:47.719Z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