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Julgado em: </w:t>
      </w:r>
      <w:r>
        <w:t xml:space="preserve">08/08/1985</w:t>
      </w:r>
    </w:p>
    <w:p/>
    <w:p>
      <w:r>
        <w:t xml:space="preserve">INCIDÊNCIA SOBRE A MÉDIA DE COMISSÕES DO PERÍODO PRORROGADO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Improcede... a arguição de ofensa à Constituição do adicional de horas extras sobre a média das comissões auferidas no período prorrogado, porquanto, se legítimo o adicional, como anteriormente se demonstrou, sobre as horas extras trabalhadas, não há razão jurídica que obste a incidência dos mesmos percentuais sobre a média das comissões auferidas no período prorrogado (REs 98.385, DJ de 4-3-83, pág. 1.940; 94.823, RTJ 10/1.281; 94.496, RTJ 103/734 e 94.265, DJ de 26-6-81, pág. 6.308). Julgado em 09-08-1985 Revista Trimestral de Jurisprudência. Fevereiro, 1986 - Vol. 115 - Pág. 798.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o adicional de horas extras incidente sobre a média das comissões auferidas no período prorrogado.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2026-07-28T01:59:06.450Z</dcterms:created>
  <dcterms:modified xsi:type="dcterms:W3CDTF">2026-07-28T01:59:06.450Z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