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Recurso: </w:t>
      </w:r>
      <w:r>
        <w:t xml:space="preserve">RE 92.371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05/12/1983</w:t>
      </w:r>
    </w:p>
    <w:p/>
    <w:p>
      <w:r>
        <w:t xml:space="preserve">ANUÊNIOS — SE PODEM SER FIXADOS EM SENTENÇA NORMATIVA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relação aos anuênios, tem entendido esta Corte que não são cabíveis, extrapolando a possibilidade de serem fixados em sentença normativa ou dissídio coletivo, adicionais por tempo de serviço. Assim, entre vários outros julgados decidiu entre Tribunal nos RE nº 92.371 (RTJ nº 121/1.106), Plenário; RE nº 94.276 (DJ de 03-07-81, pág. 6.651), bem como a Colenda 1ª Turma, no RE nº 97.204 (RTJ nº0104.865, tendo, no seu voto, o Sr. Ministro SOARES MUÑOZ feito menção a vários acórdão, no mesmo sentido. - Deste modo, cabe excluir a cláusula relativa aos anuênios. Julgado em 06-12-1983 VENCIDO, EM PARTE, O MINISTRO DECIO MIRANDA Revista Trimestral de Jurisprudência. Março, 1985 - Vol. 111 - Pág. 1.175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Quanto aos anuênios, é da jurisprudência do STF que adicionais por tempo de serviço não podem ser fixados em sentença normativa de dissídio coletivo, por não encontrarem suporte em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2026-07-28T01:58:51.706Z</dcterms:created>
  <dcterms:modified xsi:type="dcterms:W3CDTF">2026-07-28T01:58:51.706Z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