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Recurso: </w:t>
      </w:r>
      <w:r>
        <w:t xml:space="preserve">RE 92.371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05/12/1983</w:t>
      </w:r>
    </w:p>
    <w:p/>
    <w:p>
      <w:r>
        <w:t xml:space="preserve">ANUÊNIOS — SE PODEM SER FIXADOS EM SENTENÇA NORMATIVA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aos anuênios, tem entendido esta Corte que não são cabíveis, extrapolando a possibilidade de serem fixados em sentença normativa ou dissídio coletivo, adicionais por tempo de serviço. Assim, entre vários outros julgados decidiu entre Tribunal nos RE nº 92.371 (RTJ nº 121/1.106), Plenário; RE nº 94.276 (DJ de 03-07-81, pág. 6.651), bem como a Colenda 1ª Turma, no RE nº 97.204 (RTJ nº0104.865, tendo, no seu voto, o Sr. Ministro SOARES MUÑOZ feito menção a vários acórdão, no mesmo sentido. - Deste modo, cabe excluir a cláusula relativa aos anuênios. Julgado em 06-12-1983 VENCIDO, EM PARTE, O MINISTRO DECIO MIRANDA Revista Trimestral de Jurisprudência. Março, 1985 - Vol. 111 - Pág. 1.175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Quanto aos anuênios, é da jurisprudência do STF que adicionais por tempo de serviço não podem ser fixados em sentença normativa de dissídio coletivo, por não encontrarem suporte em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2026-10-16T17:26:27.580Z</dcterms:created>
  <dcterms:modified xsi:type="dcterms:W3CDTF">2026-10-16T17:26:27.580Z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