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11/04/1984</w:t>
      </w:r>
    </w:p>
    <w:p/>
    <w:p>
      <w:r>
        <w:t xml:space="preserve">QUAIS AS QUE OFENDEM O LIMITE DE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de fato, algumas das cláusulas inseridas na decisão do dissídio coletivo, e ora impugnadas, já tenha merecido censura na jurisprudência deste Tribunal, por extrapassarem os lindes do art. 142, § 1º da CF, a verdade é que exceto no referente à concessão de anuênio e à gratificação semestral as demais não foram objeto de prequestionamento. É certo que, na conformidade da jurisprudência consagrada no verbete da Súmula 528, admitindo o Presidente do Tribunal a quo o recurso extraordinário, apenas parcialmente, o STF, desde que haja partes autônomas, todas elas serão apreciadas nesta Corte. Entretanto, não significa isso que as exigências fixadas no Regimento Interno, ou na consagrada jurisprudência da Corte, para o conhecimento do excepcional, sejam dispensadas. - Assim, no caso, observa-se que das cláusulas impugnadas no extraordinário somente as pertinentes aos anuênios e a gratificação semestral e comunicação por escrito das demissões foram apontadas como maltratando o art. 142, § 1º da CF. - Assim é que com relação à cláusula 5ª embora impugnada no recurso extraordinário, não houve referência a maltrato a preceito constitucional no recurso extraordinário, de questão constitucional não cuida o v. acórdão do TST e nem tal tema é objeto dos embargos declaratórios interpostos. Faltou, assim, o necessário prequestionamento. A via utilizada, deste modo para eliminação da cláusula, não seria certamente, assim, a de recurso extraordinário. - No que diz respeito á cláusula 10, pôs o recorrente sua inconformação no recurso ordinário, ante o disposto nos arts. 545 e 462 da CLT, como expressamente se encontra dito, e tampouco invocou lesão à norma constitucional nos embargos de declaração que interpôs. - É verdade que em certo passo de seus embargos diz: "Finalmente, entende o embargante que ocorreu omissão quanto á apreciação das violações constitucionais apontadas no recurso extraordinário alusivas aos arts. 142, § 1º, 153, § 2º e 165, todos da Constituição Federal". É de se ver, porém, só poderia ser considerada a matéria constitucional, como prequestionada, em relação àqueles itens em que foi ela discutida no recurso ordinário para o TST. E ao julgar os declaratórios não examinou aquela Corte, qualquer tema da Lei Maior, até porque não foi ele suscitado. - Referentemente, à cláusula 19ª (prazo de dez dias para homologação das rescisões trabalhistas) é de aqui repetir-se o que foi dito no item anterior, concernente à cláusula 10ª. - Quanto à cláusula 24ª, não a vi discutida no recurso ordinário onde, aliás, deveria para facilidade do seu exame, ter o recorrente indicado os itens ali discutidos com relação às cláusulas a que eles se referem. - No pertinente, porém, às cláusulas subsistentes, isto é, aqueles em relação às quais o tema constitucional foi prequestionado, aí tem razão o recorrente, ante a jurisprudência desta Corte. - No referente aos anuênios, diversos são os acórdãos deste Tribunal, inclusive desta Turma, no sentido de que sua inclusão pela Justiça do Trabalho fere o disposto no art. 141, §1º. da Lei Maior. A respeito, o recorrente menciona vários acórdãos nesse sentido e, funcionando eu como relator, já decidiu esta Turma também no RE 98.054-7, entre outros. - É de se observar que mesmo no caso de aumento de gratificações anuais e outras do mesmo gênero, já se decidiu - nesta Turma inclusive - que não é possível conceder-se anuênio, na Justiça do Trabalho, sem base constitucional, e, consequentemente, assegurar-se aument os periódicos com base em que esta Corte entende que não poderia ser concedida pela Justiça do Trabalho. Seria, de fato, consagrar-se como certo, o que fundamentalmente se considera errôneo. - Sobre a gratificação semestral, por igual, sua inclusão tem sido considerada transcendente da competência da Justiça do Trabalho. Assim, por exemplo, já decidiu a C. 1ª Turma no RE nº 95.337 - RS in RTJ, 109, Págs. 648/656, quando o ilustre Relator, o Sr. Ministro NERI DA SILVEIRA, acentuou com inegável propriedade: Quanto à gratificação semestral e à quebra de caixa, sustentam as recorrentes constituírem forma indireta de burla da exigência de limitação de aumentos aos índices oficiais. - Ao fundamentar-se a decisão, no que concerne à gratificação semestral, ficou declarado; "Em princípio, gratificação é ato unilateral do empregador, não imposto por lei. Entretanto, esta vantagem constitui, de há muito, costume de vários estabelecimentos bancários e, no caso, pelas certidões dos DCs anteriores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excluídas da decisão normativa em dissídio coletivo cláusulas que a jurisprudência do Supremo Tribunal Federal tem considerado inadmissíveis de ficarem estabelecidas em tal decisão, à vista do disposto no art. 142, § 1º da Constituição Federal: anuênios, gratificação, semestral e obrigatoriedade de aviso, por escrito, para dispensa do empregado.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2026-10-16T17:26:27.766Z</dcterms:created>
  <dcterms:modified xsi:type="dcterms:W3CDTF">2026-10-16T17:26:27.766Z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