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CLÁUSULAS INCONSTITUCIONAIS</w:t>
      </w:r>
    </w:p>
    <w:p/>
    <w:p/>
    <w:p>
      <w:r>
        <w:t xml:space="preserve">PRAZO MÍNIMO ENTRE A PUBLICAÇÃO E A REALIZAÇÃO DA ASSEMBLÉIA — REQUISITO DE VALIDADE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EDITAL DE CONVOCAÇÃO DA AGT. DISPOSIÇÃO ESTATUTÁRIA ESPECÍFICA. PRAZO MÍNIMO ENTRE A PUBLICAÇÃO E A REALIZAÇÃO DA ASSEMBLÉIA. OBSERVÂNCIA OBRIGATÓRIA. - Se os estatutos da entidade sindical contam com norma específica que estabeleça prazo mínimo entre a data de publicação do edital convocatório e a realização da assembléia correspondente, então a validade desta última depende da observância desse interregno. . RODC 323726/96, Ac. 796/97 Min. Moacyr R. Tesch DJ 22.08.97 unânime(prazo de 03 dias) . RODC 143012/94, Ac. 341/95 Min. Armando de Brito DJ 23.06.95 unânime(prazo de 05 dias) . RODC 104623/94, Ac. 850/94 Min. Manoel Mendes DJ 09.09.94 unânime(prazo de 03 dias) TRIBUNAL SUPERIOR DO TRABALHO Comissão de Precedentes Normativos Orientação Jurisprudencial da SDC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2026-07-28T04:32:53.482Z</dcterms:created>
  <dcterms:modified xsi:type="dcterms:W3CDTF">2026-07-28T04:32:53.482Z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