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/>
    <w:p>
      <w:r>
        <w:t xml:space="preserve">EDITAL DE CONVOCAÇÃO E ATA DE ASSEMBLÉIA GERAL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EDITAL DE CONVOCAÇÃO E ATA DA ASSEMBLÉIA GERAL. REQUISITOS ESSENCIAIS PARA INSTAURAÇÃO DE DISSÍDIO COLETIVO. - O edital de convocação da categoria e a respectiva ata da AGT constituem peças essenciais à instauração do processo de dissídio coletivo. . RODC 384182/97 Min. Armando de Brito DJ 29.05.98 unânime . RODC 384228/97 Min. Armando de Brito DJ 17.04.98 unânime . RODC 392461/97 Min. José Z. Calasãs DJ 30.04.98 unânime . RODC 279284/96, Ac.819/97 Min. José L. Vasconcellos DJ 01.08.97 unânime . RODC 28051/91, Ac. 764/93 Min. Wagner Pimenta DJ 01.10.93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2026-10-16T17:26:13.995Z</dcterms:created>
  <dcterms:modified xsi:type="dcterms:W3CDTF">2026-10-16T17:26:13.995Z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