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EMBARGOS À EXECUÇÃO FISCAL</w:t>
      </w:r>
    </w:p>
    <w:p/>
    <w:p>
      <w:r>
        <w:rPr>
          <w:b/>
          <w:bCs/>
        </w:rPr>
        <w:t xml:space="preserve">Julgado em: </w:t>
      </w:r>
      <w:r>
        <w:t xml:space="preserve">02/12/1996</w:t>
      </w:r>
    </w:p>
    <w:p/>
    <w:p>
      <w:r>
        <w:t xml:space="preserve">PAGAMENTO DO CRÉDITO POR TERCEIRO INTERESSADO — PROSSEGUIMENTO DA EXECUÇÃO - IMPOSSIBILIDADE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Cuida-se, in casu, saber se os agravantes, na condição de terceiros interessados, que se sub-rogaram no direito creditício do INSS, podem dar prosseguimento à execução aforada pela autarquia previdenciária. - Do exame dos autos colho que o INSS, em sua petição de f., reconheceu terem os agravados efetuado o pagamento total do débito cobrado. - Isso vale dizer que se operou a sub-rogação do crédito em favor dos agravantes, na qualidade de terceiros interessados, nos termos do art. 985, III, do CC. - Acode, porém, considerar que o direito dos sub-rogados determinou o nascimento de uma relação processual executória nova, entre os sub-rogados e a executada. - Logo, tal relação jurídica processual não se confunde com a anterior, de natureza tributária. - Nessa medida, sendo o INSS parte alheia à nova relação processual, por óbvio é inaplicável a tal relação o procedimento executivo fiscal, por privativo da Fazenda Pública. - Demais disso, afastado da causa o interesse do INSS, também afastada está, no caso, a competência delegada ao Juízo a quo, que até então estava no exercício da jurisdição federal. - Afigura-se-me, assim, inadmissível o prosseguimento da execução pelos agravantes, nos autos da execução fiscal, com o aproveitamento dos atos processuais já praticados, como pretendem os recorrentes. - E, assim, entendo porque os agravantes, ainda que legitimados para o direito de regresso em face da executada, elegeram via processual imprópria para promover a execução contra a empresa executada. - De conseguinte, tenho por correta a decisão agrav ada que entendeu que o direito de regresso dos agravantes deve ser pleiteado em ação própria. - Ante o exposto, nego provimento ao agravo. - É o voto. Julgado em 03-12-1996 Revista dos Tribunais, Julho de 1997, vol. 741, pág. 433 EMFOR 613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pagamento do crédito exeqüendo por terceiros interessados não lhes dá o direito de prosseguir com a execução fiscal na qualidade de sub-rogados em face da executada, eis que a relação jurídica daí surgida não se confunde com a anterior, de natureza processual tributária executiva.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2026-10-26T04:33:30.336Z</dcterms:created>
  <dcterms:modified xsi:type="dcterms:W3CDTF">2026-10-26T04:33:30.336Z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