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20/05/1985</w:t>
      </w:r>
    </w:p>
    <w:p/>
    <w:p>
      <w:r>
        <w:t xml:space="preserve">QUANDO A ELES TÊM DIREITO 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embargos declaratórios não foram conhecidos, porquanto o recurso ordinário do Embargante se quer foi apreciado. A premissa considerada pela Egrégia Corte de origem não é suficiente por si só, a levar à ausência de conhecimento dos embargos. - A parte, diante de omissão, dúvida, contradição ou obscuridade tem acesso aos embargos declaratórios, mesmo que a decisão impugnada tenha sido prolatada face a julgamento de recurso da parte contrária. A decisão proferida, com ou sem um dos vícios mencionados, alcança ambas as partes, podendo estar presente o interesse em interpor os embargos declaratórios. Considerando que a matéria consta articulada ... e que nesta Justiça as partes podem comparecer desacompanhadas de advogado, devendo estas narrar os fatos para que o julgador diga dos preceitos legais incidentes, conheço o presente recurso face à violação do artigo 535, do Código de Processo Civil, e 832, da Consolidação das leis do Trabalho. NO MÉRITO - Dou provimento ao recurso para que voltando os autos ao Regional aprecie este como entender de direito os embargos declaratórios interpostos. Proc. TST-RR-7.200/83, Julgado em 21-05-1985 Arquivo do EMFOR, TST/1.849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531, do Código de Processo Civil e 548 da Consolidação das leis do Trabalho. - Ambos os litigantes diante da omissão, dúvida, contradição ou obscuridade na decisão que põe termo a controvérsia, têm interesse e legitimidade para opor embargos declaratórios, mesmo que o julgamento se refira a recurso da parte contrária.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2026-07-28T00:17:25.853Z</dcterms:created>
  <dcterms:modified xsi:type="dcterms:W3CDTF">2026-07-28T00:17:25.853Z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