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 11.132</w:t>
      </w:r>
    </w:p>
    <w:p/>
    <w:p>
      <w:r>
        <w:t xml:space="preserve">ACÓRDÃO UNÂNIME QUE REFORMA DECISÃO DE PRIMEIRA INSTÂNCIA — CABIMENTO</w:t>
      </w:r>
    </w:p>
    <w:p/>
    <w:p>
      <w:pPr>
        <w:pStyle w:val="Heading2"/>
      </w:pPr>
      <w:r>
        <w:rPr>
          <w:b/>
          <w:bCs/>
        </w:rPr>
        <w:t xml:space="preserve">Ementa</w:t>
      </w:r>
    </w:p>
    <w:p>
      <w:r>
        <w:t xml:space="preserve">São cabíveis embargos em ação executiva fiscal contra decisão reformatória de primeira estância, ainda que unânime. Referência: - Lei das Execuções Fiscais, art. 73, parágrafo único AG 25.583, de 26.06.62 (D.J. de 14.06.63, p. 383) AG 25.567, de 08.05.62 (D.J. de 12.09.63, p. 848) AG 28.114, de 19.03.63 (D.J. de 16.05.63, p. 262) RE 11.132, de 09.11.48 RE 7.640, de 09.01.47 (D.J. de 07.05.47, p. 813) RE 49.737, de 24.07.62 RE 4.986, de 31.05.49 (D.J de 15.03.51, p. 575) ERE 27.692, de 22.06.62 Sessão de 13-12-1963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2026-06-17T14:00:36.196Z</dcterms:created>
  <dcterms:modified xsi:type="dcterms:W3CDTF">2026-06-17T14:00:36.196Z</dcterms:modified>
</cp:coreProperties>
</file>

<file path=docProps/custom.xml><?xml version="1.0" encoding="utf-8"?>
<Properties xmlns="http://schemas.openxmlformats.org/officeDocument/2006/custom-properties" xmlns:vt="http://schemas.openxmlformats.org/officeDocument/2006/docPropsVTypes"/>
</file>