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6.514 DE 22-12-1977</w:t>
      </w:r>
    </w:p>
    <w:p/>
    <w:p>
      <w:r>
        <w:rPr>
          <w:b/>
          <w:bCs/>
        </w:rPr>
        <w:t xml:space="preserve">Julgado em: </w:t>
      </w:r>
      <w:r>
        <w:t xml:space="preserve">17/09/1985</w:t>
      </w:r>
    </w:p>
    <w:p/>
    <w:p>
      <w:r>
        <w:t xml:space="preserve">SE PODE SER CONSIDERADO EMPREGADOR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recorrente, na condição de dono da obra, não responde pelas obrigações trabalhistas de seu empreiteiro. O art. 455 da CLT é específico para o caso de subempreitada, o que não ocorreu na espécie. - Veja-se recente decisão proferida em reclamatória idêntica, ajuizada contra a ora recorrente e outra empresa: "relação de emprego não caracterizada. Trabalhador contratado por empresa que presta serviços a terceiros. Sua vinculação estabelece-se apenas com essa organização e não com aquela em que labora" (Ac. TRT 4ª Reg., 4.080/82 - 1ª Turma - relator Juiz PLÁCIDO LOPES DA FONTE, pub. no DOE de 17-01-83 - decisão unânime). - Assim, acolho a prefacial de ilegitimidade de parte para excluir a CCEE da ação. Proc. TRT-3.080/85, Julgado em 18-09-1985 VENCIDO O JUIZ (relator) Arquivo do EMFOR, TRT/389 EMFOR 448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dono da obra não responde pelas obrigações trabalhistas de seu empreiteiro.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2026-07-28T03:33:51.473Z</dcterms:created>
  <dcterms:modified xsi:type="dcterms:W3CDTF">2026-07-28T03:33:51.473Z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