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 52.442</w:t>
      </w:r>
    </w:p>
    <w:p/>
    <w:p>
      <w:r>
        <w:t xml:space="preserve">SE PODE SER COMO TAL REQUERIDA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exibição judicial de livros comerciais pode ser requerida como medida preventiva. Referência: - Cód. Proc. Civil, artigo 676, V; - Lei de Falências, art. 56, § 3º; - Cód. Comercial, artigos 17, 18 e 19 RE 52.442, de 05.11.63 (D. de Just. de 07.11.63, p. 1.125); RE 52.817, de 23.11.63 (D. de Just. de 14.11.63, p. 1.171); RE 50.890, de 16.10.62 (D. de Just. de 29.11.62, p. 810); RE 51.173, de 11.09.62 (D. de Just. de 16.11.62, p. 766). DJ nº 82, de 8 de maio de 1964 - ADENDO Nº 1 - pág. 1.238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2026-10-26T03:09:26.912Z</dcterms:created>
  <dcterms:modified xsi:type="dcterms:W3CDTF">2026-10-26T03:09:26.912Z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