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HÉLIO PINHEIRO</w:t>
      </w:r>
    </w:p>
    <w:p/>
    <w:p>
      <w:r>
        <w:t xml:space="preserve">PARADIGMA COM DIREITO ADQUIRIDO POR DECISÃO JUDICIAL — QUANDO É INCABÍVEL 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teor do art. 461 da CLT, os empregados que estejam nas mesmas condições de serviço devem receber o mesmo salário. - O Enunciado 120 (*) da Súmula do TST também dispõe que, presentes os requisitos do referido artigo, é irrelevante a circunstância de que o desnível salarial tenha origem em decisão judicial que beneficiou paradigma. - Todavia, no presente caso, não há que se cogitar de ação equiparatória ou da aplicação do referido verbete. - Os paradigmas, admitidos antes dos Autores percebiam a vantagem a título de risco de vida, calculada sobre o salário contratual. - Posteriormente, quando o Reclamado pretendeu alterar a base de cálculo para o salário mínimo, foi compelido, por decisão judicial, a restabelecer as condições contratuais pré-existentes. - Portanto, não foram feridos os princípios da isonomia ou do dever de não discriminar porque os paradigmas têm a seu favor direito adquirido que incorporou-se aos seus contratos de trabalho como vantagem pessoal. - O Enunciado 120 só poderia embasar a pretensão dos Autores se eles tivessem, conforme a MM. Junta, a mesma condição funcional dos paradigmas. - Todavia, a situação dos mesmos é diversa, vez que jamais receberam o adicional de insalubridade com base no salário contratual. - O pagamento sempre foi feito de acordo com o que dispôs o art. 192 da CLT e o enunciado 228 (*) da Súmula do TST. - Assim, incabível a isonomia salarial porque, além do Reclamado cumprir corretamente a lei e respeitar decisão transitada em julgado, vantagem pessoal não pode ser levada em consideração para efeito de equiparação salarial. - Dou provimento ao recurso para restabelecer a Sentença de 1º grau. Proc. TST-RR-9.660/58, AC. DE 04-12-1986 VENCIDO O MINISTRO REVISOR Arquivo do EMFOR, TST/2.109 (*) &lt;&lt;Presentes os pressupostos do artigo 461 da CLT, é irrelevante a circunstância de que o desnível salarial tenha origem em decisão judicial que beneficiou o paradigma.&gt;&gt; (EMENTÁRIO FORENSE&gt;&gt; Nº 396, t. EQUIPARAÇÃO SALARIAL, st. REQUISITOS). (*) &lt;&lt;O percentual do adicional de insalubridade incide sobre o salário mínimo de que cogita artigo 76, da Consolidação das Leis do Trabalho.&gt;&gt; (&lt;&lt;EMENTÁRIO FORENSE Nº 228, t. INSALUBRIDADE, st. ADICIONAL). EMFOR 469 EMENTA: - Não sendo idênticos os locais de trabalho e as funções, não cabe a equiparação. RESUMO DO ACÓRDÃO: - Quanto à pretendida equiparação, não procede a alegação, eis que não eram idênticos os locais de trabalho e as funções. Ac. de 20-08-1985 Arquivo do EMFOR, TFR/N 2.339 EMFOR 611 EMENTA: - O desvio funcional comprovado, que se não confunde com equiparação salarial, gera para o empregado regido pela CLT o direito às diferenças de salário. Não, porém, à reclassificação nem à irreversibilidade da situação - o que implicaria readaptação por via oblíqua e desrespeito à norma proibitiva do mesmo desvio. RESUMO DO ACÓRDÃO: - A hipótese não é de isonomia salarial, pelo que não precisava o reclamante provar a situação de paradigmas, como quer o INAMPS em seu apelo. Trata-se de simples desvio funcional, sabidamente proibido no serviço público desde a Lei nº 3.780/60, e que, na hipótese do empregado regido pela CLT, como é o caso, dá ensejo à complementação salarial. A existência de quadro, que é normal no serviço público e independe de aprovação do Ministério do Trabalho, não afasta a conclusão, porque, mesmo quando se trata de pedido de equiparação salarial, ela só o excepciona quando, através de promoção, oferece expectativa de melhoria ao reclamante. - Faço, porém, restrição à sentença quando da à situação caráter irreversível e manda reclassificar o reclamante, porque deste modo se estaria, por via oblíqua, readaptando o reclamante - o que já não existe no serviço público e até iria de encontro a proibição de desvio de que falei. - No sentido do que acabo de dizer, isto é, de reconhecer o direito às diferenças salariais enquanto perdurar o desvio e de distinguir essa situação da equiparação salarial, vedada quando a empresa possui quadro organizado em carreira, vale citar as seguintes decisões deste Tribunal: "Havendo quadro de carreira, assim impossibilitada a equiparação salarial, o comprovado desvio de função deve ser considerado apenas para efeito da adequada remuneração, durante sua ocorrência isto é, sem definitiva alteração contratual. Sentença que se confirma em parte. (RO 5.835 - RJ, Rel. Min. HÉLIO PINHEIRO, 3ª Turma. Unânime. DJ de 16-2-84. Em 54/46). "Tendo a autarquia quadro de pessoal organizado em carreira, não cabe a equ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 a ação equiparatória quando os paradigmas têm a seu favor direito adquirido por decisão judicial, que se incorporou aos seus contratos como vantagem pessoal. - Nesse caso não há que se cogitar de ofensa aos princípios da isonomia e ao dever de não discriminar.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2026-07-28T04:31:54.001Z</dcterms:created>
  <dcterms:modified xsi:type="dcterms:W3CDTF">2026-07-28T04:31:54.001Z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