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QUADRO ORGANIZADO EM CARREIRA</w:t>
      </w:r>
    </w:p>
    <w:p/>
    <w:p/>
    <w:p>
      <w:r>
        <w:t xml:space="preserve">FATO IMPEDITIVO, MODIFICATIVO OU EXTINTIVO — ÔNUS DO EMPREGADOR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do empregador o ônus da prova do fato impeditivo, modificativo ou extintivo da equiparação salarial. Aprovado pela Resolução Administrativa nº 09/77, de 07.02.77. Publicado no Diário da Justiça de 11.02.77, pág. 742. (Cancelada) N. da R.: Ver t. RESOLUÇÃO, st. Nº 129/05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2026-07-28T01:57:17.240Z</dcterms:created>
  <dcterms:modified xsi:type="dcterms:W3CDTF">2026-07-28T01:57:17.240Z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