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EQUIPARAÇÃO SALARIAL</w:t>
      </w:r>
    </w:p>
    <w:p>
      <w:r>
        <w:rPr>
          <w:i/>
          <w:iCs/>
          <w:color w:val="666666"/>
        </w:rPr>
        <w:t xml:space="preserve">QUADRO ORGANIZADO EM CARREIRA</w:t>
      </w:r>
    </w:p>
    <w:p/>
    <w:p/>
    <w:p>
      <w:r>
        <w:t xml:space="preserve">FATO IMPEDITIVO, MODIFICATIVO OU EXTINTIVO — ÔNUS DO EMPREGADOR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do empregador o ônus da prova do fato impeditivo, modificativo ou extintivo da equiparação salarial. Aprovado pela Resolução Administrativa nº 09/77, de 07.02.77. Publicado no Diário da Justiça de 11.02.77, pág. 742. (Cancelada) N. da R.: Ver t. RESOLUÇÃO, st. Nº 129/05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2026-10-16T16:16:01.598Z</dcterms:created>
  <dcterms:modified xsi:type="dcterms:W3CDTF">2026-10-16T16:16:01.599Z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