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Julgado em: </w:t>
      </w:r>
      <w:r>
        <w:t xml:space="preserve">18/05/1987</w:t>
      </w:r>
    </w:p>
    <w:p/>
    <w:p>
      <w:r>
        <w:t xml:space="preserve">LIVROS CARTORÁRIOS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A questão é simples. Dos Livros pretendidos à exibição, o de nº 36 estava extraviado e, por isso, sua exibição não se fez a exemplo do que ocorrera com o Livro nº 77. 2. A comunicação teria provocado a instauração de inquérito administrativo, sem contudo resolver o problema. 3. Reencontrado o Livro nº 36, foi ele exibido ao Dr. Juiz, e não à parte interessada em sua exibição. E assim se procedeu sem qualquer forma ou figura de juízo. 4. Em seguida, veio a sentença decidindo pela "improcedência" do pedido, sob o fundamento de que "Nestes autos... não há como inspecionar livros do 7º Ofício de Notas..., para se confirmar ou não, a existência da escritura objeto da dúvida, em seu inteiro teor". 5. É evidente o equívoco da sentença recorrida. Se o Livro reapareceu, o melhor que se tem a fazer é exibi-lo formalmente ao requerente, principalmente em homenagem à transparência que deve presidir os atos judiciais e extra-judiciais. Então, que se exiba, em dia e hora prefixados com intimação das partes e do M.P., não só o livro 36, em cuja a folha 105 estaria lavrado o ato impugnado, como também qualquer outro Livro do Cartório, que com aquele ato se relacione, lavrando-se, de tudo, termo circunstanciado. 6. Nesse sentido - que se provê o apelo, sob as penas do art. 362 do CPC. Só assim, dar-se-á ao Apelante a prestação jurisdicional pretendida, com vistas à ação já ajuizada na 43ª Vara Cível da Comarca da Capital. Julgado em 19-05-1987 Arquivo do EMFOR, TJ/1.551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Frustrada a tentativa administrativa da exibição de livros cartórios, nada obsta a que a exibição se defira através do processo cautelar (arts. 844 a 845,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2026-10-26T01:59:53.526Z</dcterms:created>
  <dcterms:modified xsi:type="dcterms:W3CDTF">2026-10-26T01:59:53.526Z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