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QUADRO ORGANIZADO EM CARREIRA</w:t>
      </w:r>
    </w:p>
    <w:p/>
    <w:p/>
    <w:p>
      <w:r>
        <w:t xml:space="preserve">HOMOLOGAÇÃO PELO MINISTÉRIO DO TRABALHO E PREVIDÊNCIA SOCIAL — FALTA - QUANDO NÃO É VÁLIDO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os fins previstos no parágrafo 2º, do artigo 461, da CLT, só é válido o quadro de pessoal organizado em carreira quando homologado pelo Ministério do Trabalho e Previdência Social. Referência: - Art. 461 e seus parágrafos da CLT. Aprovado pela Resolução Administrativa nº 28/69, de 14.08.69. Publicado no Diário Oficial, Parte III, pág. 13.393, em 21.08.69. N. da R.: Ver o t. RESOLUÇÃO, st. Nº 129/05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2026-07-28T04:29:54.732Z</dcterms:created>
  <dcterms:modified xsi:type="dcterms:W3CDTF">2026-07-28T04:29:54.732Z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