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QUADRO ORGANIZADO EM CARREIRA</w:t>
      </w:r>
    </w:p>
    <w:p/>
    <w:p/>
    <w:p>
      <w:r>
        <w:t xml:space="preserve">HOMOLOGAÇÃO PELO MINISTÉRIO DO TRABALHO E PREVIDÊNCIA SOCIAL — FALTA - QUANDO NÃO É VÁLIDO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os fins previstos no parágrafo 2º, do artigo 461, da CLT, só é válido o quadro de pessoal organizado em carreira quando homologado pelo Ministério do Trabalho e Previdência Social. Referência: - Art. 461 e seus parágrafos da CLT. Aprovado pela Resolução Administrativa nº 28/69, de 14.08.69. Publicado no Diário Oficial, Parte III, pág. 13.393, em 21.08.69. N. da R.: Ver o t. RESOLUÇÃO, st. Nº 129/05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2026-10-16T17:25:27.740Z</dcterms:created>
  <dcterms:modified xsi:type="dcterms:W3CDTF">2026-10-16T17:25:27.740Z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