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/>
    <w:p>
      <w:r>
        <w:t xml:space="preserve">CONTEMPORANEIDADE NO EXERCÍCIO DAS FUNÇÕES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desnecessário que, ao tempo da reclamação sobre equiparação salarial, reclamante e paradigma estejam a serviço do estabelecimento, desde que o pedido se relacione com a situação pretérita. Referência: Art. 461, da CLT. Aprovado pela Resolução Administrativa nº 57/70, de 11.11.70. Publicado no Diário Oficial, Parte III, GB, em 02.12.70, pág. 19.269 - nº 223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2026-07-28T01:36:28.800Z</dcterms:created>
  <dcterms:modified xsi:type="dcterms:W3CDTF">2026-07-28T01:36:28.800Z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