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/>
    <w:p>
      <w:r>
        <w:t xml:space="preserve">USO DE ATESTADO MÉDICO FALSO PARA ABONAR FALTAS —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Confirmou a r. sentença primeira ..., por seus próprios e jurídicos fundamentos que incorporo e considero como se aqui transcritos. - Com efeito, não só o INAMPS informou ... estar eivado de falsidade o atestado médico de ..., apresentando pela 2ª requerida na requerente para obter licença, como o próprio médico signatário, testemunha da própria empregada, confirmou aludida falsidade ... . - A falta grave está cabalmente comprovada (CLT, art. 482, "A" e "B", com art. 493) devendo salientar-se que a estabilidade no emprego não autoriza impunidade, nem muito menos chancela desonestidade ou conduta aética do trabalhador. Ac. de 21-07-1993 Arquivo do EMFOR - TRT/475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justa causa rescisiva (CLT, art. 482, "A" e "B"), por sua gravidade, o uso de atestado médico ideologicamente falso para obter o abono de faltas injustificadas ao trabalho; sendo certo que a estabilidade no emprego não autoriza impunidade, nem muito menos chancela desonestidade ou conduta aética do trabalhador.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2026-07-28T01:36:40.004Z</dcterms:created>
  <dcterms:modified xsi:type="dcterms:W3CDTF">2026-07-28T01:36:40.004Z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