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ESTABILIDADE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JOSÉ A</w:t>
      </w:r>
    </w:p>
    <w:p/>
    <w:p>
      <w:r>
        <w:t xml:space="preserve">ABRANGÊNCIA DO SUPLENTE — SE HÁ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membro suplente da CIPA não goza da proteção prevista no art. 165 da CLT, endereçada aos titulares. O item II, letra "a" do art. 10 das disposições Transitórias (CE/1988), deixou bem mais distante, ainda, a possibilidade de abrangência do suplente ao aludir apenas ao eleito para cargo de direção. E, quando quis proteger o suplente, a Carta Magna, o fez de forma expressa, como no item VIII do art. 7 Proc. TST-RR-28.559/91, Ac. de 04-05-1992 VENCIDO O MINISTRO JOSÉ CALIXTO RAMOS. Arquivo do EMFOR - TST/3.005 NO MESMO SENTIDO: Revista Ac. 3.178/86, Proc. TST-RR-3.593/85.9, Ac. de 16-9-86, 2ª T. Relator: Ministro JOSÉ A. DA COSTA E SILVA e Revista Ac. 04-436/86, Proc. TST-RR-2.781/86.9, Ac. de 11-11-86, 2ª T. Relator: Ministro C. BARATA SILVA, in "EMFOR", NºS 473 e 481. EM SENTIDO CONTRÁRIO; Revista Ac. 3.013/89, Ac. de 22-10-90, 1ª T., Relator: Ministro GIACOMINI, in "EMFOR", Nº 524. EMFOR 531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2026-07-28T01:57:56.910Z</dcterms:created>
  <dcterms:modified xsi:type="dcterms:W3CDTF">2026-07-28T01:57:56.910Z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