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ESTABILIDADE PROVISÓRIA</w:t>
      </w:r>
    </w:p>
    <w:p>
      <w:r>
        <w:rPr>
          <w:i/>
          <w:iCs/>
          <w:color w:val="666666"/>
        </w:rPr>
        <w:t xml:space="preserve">SUPLENTE DO DIRETOR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MEMBRO SUPLENTE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encontra-se pacificada nesta E. Corte, com a edição do Enunciado 339 (*), "in verbis": "Cipa. Suplente. Garantia de Emprego. CF/88. O Suplente da CIPA goza da Garantia de Emprego prevista no art. 10, inc. II, alínea "a", do ADCT da Constituição da República de 1988." - Via de conseqüência, DOU PROVIMENTO ao recurso para, reformando o v. acórdão Regional, conceder ao reclamante a estabilidade prevista no art. 10, inciso II, alínea "a" do ADCT/CF/88. Ac. nº 5.425 de 18-10-1995 Arquivo do EMFOR - TST/3.327 (*) "O Suplente da CIPA goza da garantia de emprego prevista no art. 10, inciso II, alínea "a", do ADCT da Constituição da República de 1988. EMFOR 567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Enunciado 339 pacificou o debate a respeito da matéria, na esfera do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2026-07-28T01:17:49.761Z</dcterms:created>
  <dcterms:modified xsi:type="dcterms:W3CDTF">2026-07-28T01:17:49.761Z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