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FATO SUPERVENIENTE À AÇÃO</w:t>
      </w:r>
    </w:p>
    <w:p/>
    <w:p/>
    <w:p>
      <w:r>
        <w:t xml:space="preserve">DECRETO-LEI 75/66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Dúvida não há de que a lei posterior revoga a anterior quando expressamente o declare, quando seja com ela incompatível ou quando regule inteiramente a matéria de que tratava a lei anterior. Acontece, porém, que, no caso dos autos, disso não há de se cogitar. É que a ação foi ajuizada em 18-2-86 e a executada teve decretada sua falência em 20-5-86, quando já em pleno vigor o Dec. Lei 2.288/85, que revogou o Dec. Lei 75/66 no que concerne à contagem dos juros de mora e correção monetária das empresas que vem a ter decretada a sua falência. Não há, pois, como pretender aplicação no caso dos autos do aludido Dec.Lei 75/66. - Nego provimento ao agravo de petição. Ac. de 13-02-1990 Arquivo do EMFOR - TRT/451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Ajuizada a ação e decretada a falência da executada quando já em plena vigência o Dec. Lei 2.278/85, não há como prevalecer pretensão de que juros de mora e correção monetária sejam calculados com as restrições do Dec. Lei 75/66, já revogado, no particular.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2026-10-16T16:26:54.356Z</dcterms:created>
  <dcterms:modified xsi:type="dcterms:W3CDTF">2026-10-16T16:26:54.356Z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